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ayout w:type="fixed"/>
        <w:tblLook w:val="01E0" w:firstRow="1" w:lastRow="1" w:firstColumn="1" w:lastColumn="1" w:noHBand="0" w:noVBand="0"/>
      </w:tblPr>
      <w:tblGrid>
        <w:gridCol w:w="7526"/>
        <w:gridCol w:w="2682"/>
      </w:tblGrid>
      <w:tr w:rsidR="00A72A24" w:rsidRPr="006F3F17" w:rsidTr="009C63B0">
        <w:trPr>
          <w:trHeight w:val="454"/>
          <w:jc w:val="center"/>
        </w:trPr>
        <w:tc>
          <w:tcPr>
            <w:tcW w:w="7526" w:type="dxa"/>
            <w:shd w:val="clear" w:color="auto" w:fill="7030A0"/>
            <w:vAlign w:val="center"/>
          </w:tcPr>
          <w:p w:rsidR="00A72A24" w:rsidRPr="00B82B86" w:rsidRDefault="00A72A24" w:rsidP="007260A5">
            <w:pPr>
              <w:rPr>
                <w:rFonts w:ascii="Arial" w:hAnsi="Arial" w:cs="Arial"/>
                <w:b/>
                <w:color w:val="FFFFFF"/>
                <w:szCs w:val="24"/>
              </w:rPr>
            </w:pPr>
            <w:r w:rsidRPr="00B82B86">
              <w:rPr>
                <w:rFonts w:ascii="Arial" w:hAnsi="Arial" w:cs="Arial"/>
                <w:b/>
                <w:color w:val="FFFFFF"/>
                <w:szCs w:val="24"/>
              </w:rPr>
              <w:t xml:space="preserve">Evidence Summary: Wound Management-low resource  communities: Citric Acid as a Topical Antiseptic  </w:t>
            </w:r>
          </w:p>
        </w:tc>
        <w:tc>
          <w:tcPr>
            <w:tcW w:w="2682" w:type="dxa"/>
            <w:shd w:val="clear" w:color="auto" w:fill="7030A0"/>
            <w:vAlign w:val="center"/>
          </w:tcPr>
          <w:p w:rsidR="00A72A24" w:rsidRPr="00B82B86" w:rsidRDefault="002759C1" w:rsidP="00D22E70">
            <w:pPr>
              <w:jc w:val="center"/>
              <w:rPr>
                <w:rFonts w:ascii="Arial" w:hAnsi="Arial" w:cs="Arial"/>
                <w:b/>
                <w:color w:val="FFFFFF"/>
                <w:sz w:val="20"/>
                <w:szCs w:val="20"/>
              </w:rPr>
            </w:pPr>
            <w:r w:rsidRPr="00B82B86">
              <w:rPr>
                <w:rFonts w:ascii="Arial" w:hAnsi="Arial" w:cs="Arial"/>
                <w:b/>
                <w:color w:val="FFFFFF"/>
                <w:sz w:val="20"/>
                <w:szCs w:val="20"/>
              </w:rPr>
              <w:t>May</w:t>
            </w:r>
            <w:r w:rsidR="00A72A24" w:rsidRPr="00B82B86">
              <w:rPr>
                <w:rFonts w:ascii="Arial" w:hAnsi="Arial" w:cs="Arial"/>
                <w:b/>
                <w:color w:val="FFFFFF"/>
                <w:sz w:val="20"/>
                <w:szCs w:val="20"/>
              </w:rPr>
              <w:t xml:space="preserve"> 2016</w:t>
            </w:r>
          </w:p>
        </w:tc>
      </w:tr>
    </w:tbl>
    <w:p w:rsidR="00A72A24" w:rsidRPr="00B82B86" w:rsidRDefault="00A72A24" w:rsidP="004D370B">
      <w:pPr>
        <w:rPr>
          <w:rFonts w:ascii="Arial" w:hAnsi="Arial" w:cs="Arial"/>
        </w:rPr>
      </w:pPr>
    </w:p>
    <w:p w:rsidR="00A72A24" w:rsidRPr="00B82B86" w:rsidRDefault="00A72A24" w:rsidP="004D370B">
      <w:pPr>
        <w:rPr>
          <w:rFonts w:ascii="Arial" w:hAnsi="Arial" w:cs="Arial"/>
        </w:rPr>
      </w:pPr>
      <w:r w:rsidRPr="00B82B86">
        <w:rPr>
          <w:rFonts w:ascii="Arial" w:hAnsi="Arial" w:cs="Arial"/>
          <w:b/>
        </w:rPr>
        <w:t>Author</w:t>
      </w:r>
      <w:r w:rsidRPr="00B82B86">
        <w:rPr>
          <w:rFonts w:ascii="Arial" w:hAnsi="Arial" w:cs="Arial"/>
        </w:rPr>
        <w:t>: Wound Healing and Management Node Group</w:t>
      </w:r>
      <w:r w:rsidR="00200DAB" w:rsidRPr="00B82B86">
        <w:rPr>
          <w:rFonts w:ascii="Arial" w:hAnsi="Arial" w:cs="Arial"/>
        </w:rPr>
        <w:t xml:space="preserve"> </w:t>
      </w:r>
      <w:r w:rsidR="00A051A5" w:rsidRPr="00B82B86">
        <w:rPr>
          <w:rFonts w:ascii="Arial" w:hAnsi="Arial" w:cs="Arial"/>
        </w:rPr>
        <w:t>–</w:t>
      </w:r>
      <w:r w:rsidR="00200DAB" w:rsidRPr="00B82B86">
        <w:rPr>
          <w:rFonts w:ascii="Arial" w:hAnsi="Arial" w:cs="Arial"/>
        </w:rPr>
        <w:t xml:space="preserve"> </w:t>
      </w:r>
      <w:r w:rsidR="00A051A5" w:rsidRPr="00B82B86">
        <w:rPr>
          <w:rFonts w:ascii="Arial" w:hAnsi="Arial" w:cs="Arial"/>
        </w:rPr>
        <w:t>R.Watts, E.Frehner</w:t>
      </w:r>
      <w:r w:rsidR="009B23E0">
        <w:rPr>
          <w:rFonts w:ascii="Arial" w:hAnsi="Arial" w:cs="Arial"/>
        </w:rPr>
        <w:t>, Curtin University</w:t>
      </w:r>
    </w:p>
    <w:p w:rsidR="00A72A24" w:rsidRPr="00B82B86" w:rsidRDefault="00A72A24" w:rsidP="004D370B">
      <w:pPr>
        <w:rPr>
          <w:rFonts w:ascii="Arial" w:hAnsi="Arial" w:cs="Arial"/>
        </w:rPr>
      </w:pPr>
    </w:p>
    <w:p w:rsidR="00A72A24" w:rsidRPr="00B82B86" w:rsidRDefault="006F3F17" w:rsidP="004D370B">
      <w:pPr>
        <w:rPr>
          <w:rFonts w:ascii="Arial" w:hAnsi="Arial" w:cs="Arial"/>
          <w:b/>
        </w:rPr>
      </w:pPr>
      <w:r w:rsidRPr="00B82B86">
        <w:rPr>
          <w:rFonts w:ascii="Arial" w:hAnsi="Arial" w:cs="Arial"/>
          <w:b/>
        </w:rPr>
        <w:t xml:space="preserve">CLINICAL </w:t>
      </w:r>
      <w:r w:rsidR="00A72A24" w:rsidRPr="00B82B86">
        <w:rPr>
          <w:rFonts w:ascii="Arial" w:hAnsi="Arial" w:cs="Arial"/>
          <w:b/>
        </w:rPr>
        <w:t>QUESTION:</w:t>
      </w:r>
      <w:r w:rsidR="00A72A24" w:rsidRPr="00B82B86">
        <w:rPr>
          <w:rFonts w:ascii="Arial" w:hAnsi="Arial" w:cs="Arial"/>
        </w:rPr>
        <w:t xml:space="preserve"> What is the best available evidence regarding the use of citric acid for wound management?</w:t>
      </w:r>
    </w:p>
    <w:p w:rsidR="00A72A24" w:rsidRPr="00B82B86" w:rsidRDefault="00A72A24" w:rsidP="004D370B">
      <w:pPr>
        <w:rPr>
          <w:rFonts w:ascii="Arial" w:hAnsi="Arial" w:cs="Arial"/>
        </w:rPr>
      </w:pPr>
      <w:bookmarkStart w:id="0" w:name="ReviewText"/>
      <w:bookmarkEnd w:id="0"/>
    </w:p>
    <w:p w:rsidR="006F3F17" w:rsidRPr="00B82B86" w:rsidRDefault="006F3F17" w:rsidP="00877458">
      <w:pPr>
        <w:rPr>
          <w:rFonts w:ascii="Arial" w:hAnsi="Arial" w:cs="Arial"/>
          <w:b/>
        </w:rPr>
      </w:pPr>
      <w:r w:rsidRPr="00B82B86">
        <w:rPr>
          <w:rFonts w:ascii="Arial" w:hAnsi="Arial" w:cs="Arial"/>
          <w:b/>
        </w:rPr>
        <w:t>SUMMARY</w:t>
      </w:r>
    </w:p>
    <w:p w:rsidR="006C4D88" w:rsidRPr="00DE78C4" w:rsidRDefault="006C4D88" w:rsidP="006C4D88">
      <w:pPr>
        <w:rPr>
          <w:rFonts w:ascii="Arial" w:hAnsi="Arial" w:cs="Arial"/>
          <w:szCs w:val="24"/>
        </w:rPr>
      </w:pPr>
      <w:r w:rsidRPr="00DE78C4">
        <w:rPr>
          <w:rFonts w:ascii="Arial" w:hAnsi="Arial" w:cs="Arial"/>
          <w:szCs w:val="24"/>
        </w:rPr>
        <w:t>Citric acid has been used as a low cost option for managing a w</w:t>
      </w:r>
      <w:bookmarkStart w:id="1" w:name="_GoBack"/>
      <w:bookmarkEnd w:id="1"/>
      <w:r w:rsidRPr="00DE78C4">
        <w:rPr>
          <w:rFonts w:ascii="Arial" w:hAnsi="Arial" w:cs="Arial"/>
          <w:szCs w:val="24"/>
        </w:rPr>
        <w:t>ide range of chronic wounds which have not responded to conventional management. Sensitivity of a range</w:t>
      </w:r>
      <w:r w:rsidRPr="00DE78C4">
        <w:rPr>
          <w:rFonts w:ascii="Arial" w:hAnsi="Arial" w:cs="Arial"/>
          <w:b/>
          <w:szCs w:val="24"/>
        </w:rPr>
        <w:t xml:space="preserve"> </w:t>
      </w:r>
      <w:r w:rsidRPr="00DE78C4">
        <w:rPr>
          <w:rFonts w:ascii="Arial" w:hAnsi="Arial" w:cs="Arial"/>
          <w:szCs w:val="24"/>
        </w:rPr>
        <w:t>of bacteria to 3% citric acid, including multiple antibiotic- resistant organisms, has been demonstrated through microscopy, culture and sensitivity (MC&amp;S). Complete wound healing has been achieved in a high percentage of cases with daily application of 3% citric acid and histological findings suggest that citric acid may not create an environment that is toxic to a healing wound</w:t>
      </w:r>
      <w:r w:rsidR="00B82B86">
        <w:rPr>
          <w:rFonts w:ascii="Arial" w:hAnsi="Arial" w:cs="Arial"/>
          <w:szCs w:val="24"/>
        </w:rPr>
        <w:t xml:space="preserve">. </w:t>
      </w:r>
      <w:r w:rsidRPr="00DE78C4">
        <w:rPr>
          <w:rFonts w:ascii="Arial" w:hAnsi="Arial" w:cs="Arial"/>
          <w:szCs w:val="24"/>
        </w:rPr>
        <w:t>Some patients report mild to moderate irritation for several minutes after application, although with superficial burns and large raw areas the burning sensation can be severe</w:t>
      </w:r>
      <w:r w:rsidR="00B82B86">
        <w:rPr>
          <w:rFonts w:ascii="Arial" w:hAnsi="Arial" w:cs="Arial"/>
          <w:szCs w:val="24"/>
        </w:rPr>
        <w:t>.</w:t>
      </w:r>
      <w:r w:rsidRPr="00DE78C4">
        <w:rPr>
          <w:rFonts w:ascii="Arial" w:hAnsi="Arial" w:cs="Arial"/>
          <w:szCs w:val="24"/>
        </w:rPr>
        <w:t xml:space="preserve"> Randomised controlled trials on the effectiveness and safety of citric acid as an antiseptic with large sample sizes are required.</w:t>
      </w:r>
    </w:p>
    <w:p w:rsidR="006F3F17" w:rsidRPr="00B82B86" w:rsidRDefault="006F3F17" w:rsidP="00877458">
      <w:pPr>
        <w:rPr>
          <w:rFonts w:ascii="Arial" w:hAnsi="Arial" w:cs="Arial"/>
          <w:b/>
        </w:rPr>
      </w:pPr>
    </w:p>
    <w:p w:rsidR="006F3F17" w:rsidRPr="00B82B86" w:rsidRDefault="006F3F17" w:rsidP="00877458">
      <w:pPr>
        <w:rPr>
          <w:rFonts w:ascii="Arial" w:hAnsi="Arial" w:cs="Arial"/>
          <w:b/>
        </w:rPr>
      </w:pPr>
      <w:r w:rsidRPr="00B82B86">
        <w:rPr>
          <w:rFonts w:ascii="Arial" w:hAnsi="Arial" w:cs="Arial"/>
          <w:b/>
        </w:rPr>
        <w:t>BEST PRACTICE RECOMMENDATIONS</w:t>
      </w:r>
    </w:p>
    <w:p w:rsidR="006F3F17" w:rsidRPr="00B82B86" w:rsidRDefault="006F3F17" w:rsidP="00877458">
      <w:pPr>
        <w:rPr>
          <w:rFonts w:ascii="Arial" w:hAnsi="Arial" w:cs="Arial"/>
          <w:b/>
          <w:sz w:val="32"/>
          <w:szCs w:val="32"/>
        </w:rPr>
      </w:pPr>
      <w:r>
        <w:rPr>
          <w:rFonts w:ascii="Arial" w:hAnsi="Arial" w:cs="Arial"/>
          <w:b/>
        </w:rPr>
        <w:t>___________________________________________________________________</w:t>
      </w:r>
    </w:p>
    <w:p w:rsidR="006F3F17" w:rsidRDefault="006F3F17" w:rsidP="00B82B86">
      <w:pPr>
        <w:rPr>
          <w:rFonts w:ascii="Arial" w:hAnsi="Arial" w:cs="Arial"/>
          <w:b/>
        </w:rPr>
      </w:pPr>
    </w:p>
    <w:p w:rsidR="006F3F17" w:rsidRPr="00202306" w:rsidRDefault="006F3F17" w:rsidP="00B82B86">
      <w:pPr>
        <w:pStyle w:val="ListParagraph"/>
        <w:numPr>
          <w:ilvl w:val="0"/>
          <w:numId w:val="41"/>
        </w:numPr>
        <w:ind w:left="426" w:hanging="426"/>
        <w:rPr>
          <w:rFonts w:ascii="Arial" w:hAnsi="Arial" w:cs="Arial"/>
          <w:color w:val="6D1D6A" w:themeColor="accent1" w:themeShade="BF"/>
        </w:rPr>
      </w:pPr>
      <w:r w:rsidRPr="00202306">
        <w:rPr>
          <w:rFonts w:ascii="Arial" w:hAnsi="Arial" w:cs="Arial"/>
          <w:color w:val="6D1D6A" w:themeColor="accent1" w:themeShade="BF"/>
        </w:rPr>
        <w:t>Citric acid as a 3% irrigation solution or ointment applied daily offers a low cost option for managing chronic clinically infected wounds in settings where there is limited or no access to antibiotic therapy or where conventional treatment has been ineffective. (Grade B).</w:t>
      </w:r>
    </w:p>
    <w:p w:rsidR="006F3F17" w:rsidRPr="00202306" w:rsidRDefault="006F3F17" w:rsidP="00B82B86">
      <w:pPr>
        <w:pStyle w:val="ListParagraph"/>
        <w:rPr>
          <w:rFonts w:ascii="Arial" w:hAnsi="Arial" w:cs="Arial"/>
          <w:color w:val="6D1D6A" w:themeColor="accent1" w:themeShade="BF"/>
        </w:rPr>
      </w:pPr>
    </w:p>
    <w:p w:rsidR="006F3F17" w:rsidRPr="00202306" w:rsidRDefault="006F3F17" w:rsidP="00B82B86">
      <w:pPr>
        <w:pStyle w:val="ListParagraph"/>
        <w:numPr>
          <w:ilvl w:val="0"/>
          <w:numId w:val="41"/>
        </w:numPr>
        <w:ind w:left="426" w:hanging="426"/>
        <w:rPr>
          <w:rFonts w:ascii="Arial" w:hAnsi="Arial" w:cs="Arial"/>
          <w:color w:val="6D1D6A" w:themeColor="accent1" w:themeShade="BF"/>
        </w:rPr>
      </w:pPr>
      <w:r w:rsidRPr="00202306">
        <w:rPr>
          <w:rFonts w:ascii="Arial" w:hAnsi="Arial" w:cs="Arial"/>
          <w:color w:val="6D1D6A" w:themeColor="accent1" w:themeShade="BF"/>
        </w:rPr>
        <w:t>Citric acid 3% could also be considered for treatment of limb wounds caused by trauma with delayed presentation for care. (Grade B)</w:t>
      </w:r>
    </w:p>
    <w:p w:rsidR="006F3F17" w:rsidRPr="00202306" w:rsidRDefault="006F3F17" w:rsidP="00B82B86">
      <w:pPr>
        <w:rPr>
          <w:rFonts w:ascii="Arial" w:hAnsi="Arial" w:cs="Arial"/>
          <w:color w:val="6D1D6A" w:themeColor="accent1" w:themeShade="BF"/>
        </w:rPr>
      </w:pPr>
    </w:p>
    <w:p w:rsidR="006F3F17" w:rsidRPr="00202306" w:rsidRDefault="006F3F17" w:rsidP="00B82B86">
      <w:pPr>
        <w:pStyle w:val="ListParagraph"/>
        <w:numPr>
          <w:ilvl w:val="0"/>
          <w:numId w:val="41"/>
        </w:numPr>
        <w:ind w:left="426" w:hanging="426"/>
        <w:rPr>
          <w:rFonts w:ascii="Arial" w:hAnsi="Arial" w:cs="Arial"/>
          <w:color w:val="6D1D6A" w:themeColor="accent1" w:themeShade="BF"/>
        </w:rPr>
      </w:pPr>
      <w:r w:rsidRPr="00202306">
        <w:rPr>
          <w:rFonts w:ascii="Arial" w:hAnsi="Arial" w:cs="Arial"/>
          <w:color w:val="6D1D6A" w:themeColor="accent1" w:themeShade="BF"/>
        </w:rPr>
        <w:t>Assess patient’s level of pain and provide pain relief if required prior to commencing dressing. (Grade A)</w:t>
      </w:r>
    </w:p>
    <w:p w:rsidR="003767D6" w:rsidRPr="00B82B86" w:rsidRDefault="003767D6" w:rsidP="00877458">
      <w:pPr>
        <w:rPr>
          <w:rFonts w:ascii="Arial" w:hAnsi="Arial" w:cs="Arial"/>
          <w:b/>
          <w:sz w:val="32"/>
          <w:szCs w:val="32"/>
        </w:rPr>
      </w:pPr>
      <w:r>
        <w:rPr>
          <w:rFonts w:ascii="Arial" w:hAnsi="Arial" w:cs="Arial"/>
          <w:b/>
          <w:sz w:val="32"/>
          <w:szCs w:val="32"/>
        </w:rPr>
        <w:t>_________________________________________________</w:t>
      </w:r>
    </w:p>
    <w:p w:rsidR="006F3F17" w:rsidRDefault="006F3F17" w:rsidP="00877458">
      <w:pPr>
        <w:rPr>
          <w:rFonts w:ascii="Arial" w:hAnsi="Arial" w:cs="Arial"/>
          <w:b/>
        </w:rPr>
      </w:pPr>
    </w:p>
    <w:p w:rsidR="00CB45AD" w:rsidRDefault="00CB45AD" w:rsidP="00877458">
      <w:pPr>
        <w:rPr>
          <w:rFonts w:ascii="Arial" w:hAnsi="Arial" w:cs="Arial"/>
          <w:b/>
        </w:rPr>
      </w:pPr>
      <w:r>
        <w:rPr>
          <w:rFonts w:ascii="Arial" w:hAnsi="Arial" w:cs="Arial"/>
          <w:b/>
        </w:rPr>
        <w:t>SOURCES OF EVIDENCE</w:t>
      </w:r>
    </w:p>
    <w:p w:rsidR="00CB45AD" w:rsidRDefault="00CB45AD" w:rsidP="00877458">
      <w:pPr>
        <w:rPr>
          <w:rFonts w:ascii="Arial" w:hAnsi="Arial" w:cs="Arial"/>
          <w:b/>
        </w:rPr>
      </w:pPr>
    </w:p>
    <w:tbl>
      <w:tblPr>
        <w:tblStyle w:val="TableGrid"/>
        <w:tblW w:w="0" w:type="auto"/>
        <w:tblLook w:val="04A0" w:firstRow="1" w:lastRow="0" w:firstColumn="1" w:lastColumn="0" w:noHBand="0" w:noVBand="1"/>
      </w:tblPr>
      <w:tblGrid>
        <w:gridCol w:w="1803"/>
        <w:gridCol w:w="1803"/>
        <w:gridCol w:w="1803"/>
        <w:gridCol w:w="1803"/>
        <w:gridCol w:w="1804"/>
      </w:tblGrid>
      <w:tr w:rsidR="009B23E0" w:rsidTr="009B23E0">
        <w:tc>
          <w:tcPr>
            <w:tcW w:w="1803" w:type="dxa"/>
          </w:tcPr>
          <w:p w:rsidR="009B23E0" w:rsidRPr="00202306" w:rsidRDefault="004802ED" w:rsidP="00B82B86">
            <w:pPr>
              <w:jc w:val="center"/>
              <w:rPr>
                <w:rFonts w:ascii="Arial" w:hAnsi="Arial" w:cs="Arial"/>
                <w:b/>
                <w:color w:val="6D1D6A" w:themeColor="accent1" w:themeShade="BF"/>
              </w:rPr>
            </w:pPr>
            <w:r w:rsidRPr="00202306">
              <w:rPr>
                <w:rFonts w:ascii="Arial" w:hAnsi="Arial" w:cs="Arial"/>
                <w:b/>
                <w:color w:val="6D1D6A" w:themeColor="accent1" w:themeShade="BF"/>
              </w:rPr>
              <w:t>Level 1</w:t>
            </w:r>
          </w:p>
        </w:tc>
        <w:tc>
          <w:tcPr>
            <w:tcW w:w="1803" w:type="dxa"/>
          </w:tcPr>
          <w:p w:rsidR="009B23E0" w:rsidRPr="00202306" w:rsidRDefault="004802ED" w:rsidP="00B82B86">
            <w:pPr>
              <w:jc w:val="center"/>
              <w:rPr>
                <w:rFonts w:ascii="Arial" w:hAnsi="Arial" w:cs="Arial"/>
                <w:b/>
                <w:color w:val="6D1D6A" w:themeColor="accent1" w:themeShade="BF"/>
              </w:rPr>
            </w:pPr>
            <w:r w:rsidRPr="00202306">
              <w:rPr>
                <w:rFonts w:ascii="Arial" w:hAnsi="Arial" w:cs="Arial"/>
                <w:b/>
                <w:color w:val="6D1D6A" w:themeColor="accent1" w:themeShade="BF"/>
              </w:rPr>
              <w:t>Level 2</w:t>
            </w:r>
          </w:p>
        </w:tc>
        <w:tc>
          <w:tcPr>
            <w:tcW w:w="1803" w:type="dxa"/>
          </w:tcPr>
          <w:p w:rsidR="009B23E0" w:rsidRPr="00202306" w:rsidRDefault="004802ED" w:rsidP="00B82B86">
            <w:pPr>
              <w:jc w:val="center"/>
              <w:rPr>
                <w:rFonts w:ascii="Arial" w:hAnsi="Arial" w:cs="Arial"/>
                <w:b/>
                <w:color w:val="6D1D6A" w:themeColor="accent1" w:themeShade="BF"/>
              </w:rPr>
            </w:pPr>
            <w:r w:rsidRPr="00202306">
              <w:rPr>
                <w:rFonts w:ascii="Arial" w:hAnsi="Arial" w:cs="Arial"/>
                <w:b/>
                <w:color w:val="6D1D6A" w:themeColor="accent1" w:themeShade="BF"/>
              </w:rPr>
              <w:t>Level 3</w:t>
            </w:r>
          </w:p>
        </w:tc>
        <w:tc>
          <w:tcPr>
            <w:tcW w:w="1803" w:type="dxa"/>
          </w:tcPr>
          <w:p w:rsidR="009B23E0" w:rsidRPr="00202306" w:rsidRDefault="004802ED" w:rsidP="00B82B86">
            <w:pPr>
              <w:jc w:val="center"/>
              <w:rPr>
                <w:rFonts w:ascii="Arial" w:hAnsi="Arial" w:cs="Arial"/>
                <w:b/>
                <w:color w:val="6D1D6A" w:themeColor="accent1" w:themeShade="BF"/>
              </w:rPr>
            </w:pPr>
            <w:r w:rsidRPr="00202306">
              <w:rPr>
                <w:rFonts w:ascii="Arial" w:hAnsi="Arial" w:cs="Arial"/>
                <w:b/>
                <w:color w:val="6D1D6A" w:themeColor="accent1" w:themeShade="BF"/>
              </w:rPr>
              <w:t>Level 4</w:t>
            </w:r>
          </w:p>
        </w:tc>
        <w:tc>
          <w:tcPr>
            <w:tcW w:w="1804" w:type="dxa"/>
          </w:tcPr>
          <w:p w:rsidR="009B23E0" w:rsidRPr="00202306" w:rsidRDefault="004802ED" w:rsidP="00B82B86">
            <w:pPr>
              <w:jc w:val="center"/>
              <w:rPr>
                <w:rFonts w:ascii="Arial" w:hAnsi="Arial" w:cs="Arial"/>
                <w:b/>
                <w:color w:val="6D1D6A" w:themeColor="accent1" w:themeShade="BF"/>
              </w:rPr>
            </w:pPr>
            <w:r w:rsidRPr="00202306">
              <w:rPr>
                <w:rFonts w:ascii="Arial" w:hAnsi="Arial" w:cs="Arial"/>
                <w:b/>
                <w:color w:val="6D1D6A" w:themeColor="accent1" w:themeShade="BF"/>
              </w:rPr>
              <w:t>Level 5</w:t>
            </w:r>
          </w:p>
        </w:tc>
      </w:tr>
      <w:tr w:rsidR="009857B4" w:rsidTr="009B23E0">
        <w:tc>
          <w:tcPr>
            <w:tcW w:w="1803" w:type="dxa"/>
          </w:tcPr>
          <w:p w:rsidR="009857B4" w:rsidRPr="009C63B0" w:rsidRDefault="009857B4"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Experimental</w:t>
            </w:r>
          </w:p>
          <w:p w:rsidR="009857B4" w:rsidRPr="009C63B0" w:rsidRDefault="009857B4"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designs</w:t>
            </w:r>
          </w:p>
        </w:tc>
        <w:tc>
          <w:tcPr>
            <w:tcW w:w="1803" w:type="dxa"/>
          </w:tcPr>
          <w:p w:rsidR="009857B4" w:rsidRPr="009C63B0" w:rsidRDefault="009857B4"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Quasi-experimental</w:t>
            </w:r>
          </w:p>
          <w:p w:rsidR="009857B4" w:rsidRPr="009C63B0" w:rsidRDefault="00EF1311"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d</w:t>
            </w:r>
            <w:r w:rsidR="009857B4" w:rsidRPr="009C63B0">
              <w:rPr>
                <w:rFonts w:ascii="Arial" w:hAnsi="Arial" w:cs="Arial"/>
                <w:color w:val="492249" w:themeColor="text2" w:themeShade="BF"/>
                <w:sz w:val="20"/>
                <w:szCs w:val="20"/>
              </w:rPr>
              <w:t>esigns</w:t>
            </w:r>
          </w:p>
          <w:p w:rsidR="00EF1311" w:rsidRPr="009C63B0" w:rsidRDefault="00EF1311" w:rsidP="00B82B86">
            <w:pPr>
              <w:rPr>
                <w:rFonts w:ascii="Arial" w:hAnsi="Arial" w:cs="Arial"/>
                <w:color w:val="492249" w:themeColor="text2" w:themeShade="BF"/>
                <w:sz w:val="20"/>
                <w:szCs w:val="20"/>
              </w:rPr>
            </w:pPr>
          </w:p>
        </w:tc>
        <w:tc>
          <w:tcPr>
            <w:tcW w:w="1803" w:type="dxa"/>
          </w:tcPr>
          <w:p w:rsidR="009857B4" w:rsidRPr="009C63B0" w:rsidRDefault="00EF1311"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 xml:space="preserve">Observational – </w:t>
            </w:r>
          </w:p>
          <w:p w:rsidR="00EF1311" w:rsidRPr="009C63B0" w:rsidRDefault="00EF1311"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Analytic designs</w:t>
            </w:r>
          </w:p>
        </w:tc>
        <w:tc>
          <w:tcPr>
            <w:tcW w:w="1803" w:type="dxa"/>
          </w:tcPr>
          <w:p w:rsidR="009857B4" w:rsidRPr="009C63B0" w:rsidRDefault="00EF1311"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Observational - descriptive studies</w:t>
            </w:r>
          </w:p>
        </w:tc>
        <w:tc>
          <w:tcPr>
            <w:tcW w:w="1804" w:type="dxa"/>
          </w:tcPr>
          <w:p w:rsidR="009857B4" w:rsidRPr="009C63B0" w:rsidRDefault="00EF1311" w:rsidP="00B82B86">
            <w:pPr>
              <w:rPr>
                <w:rFonts w:ascii="Arial" w:hAnsi="Arial" w:cs="Arial"/>
                <w:color w:val="492249" w:themeColor="text2" w:themeShade="BF"/>
                <w:sz w:val="20"/>
                <w:szCs w:val="20"/>
              </w:rPr>
            </w:pPr>
            <w:r w:rsidRPr="009C63B0">
              <w:rPr>
                <w:rFonts w:ascii="Arial" w:hAnsi="Arial" w:cs="Arial"/>
                <w:color w:val="492249" w:themeColor="text2" w:themeShade="BF"/>
                <w:sz w:val="20"/>
                <w:szCs w:val="20"/>
              </w:rPr>
              <w:t>Expert opinion Bench research</w:t>
            </w:r>
          </w:p>
        </w:tc>
      </w:tr>
      <w:tr w:rsidR="00995E6D" w:rsidTr="009B23E0">
        <w:tc>
          <w:tcPr>
            <w:tcW w:w="1803" w:type="dxa"/>
          </w:tcPr>
          <w:p w:rsidR="004305BA" w:rsidRDefault="004305BA" w:rsidP="007260A5">
            <w:pPr>
              <w:rPr>
                <w:rFonts w:ascii="Arial" w:hAnsi="Arial" w:cs="Arial"/>
                <w:sz w:val="20"/>
                <w:szCs w:val="20"/>
              </w:rPr>
            </w:pPr>
          </w:p>
          <w:p w:rsidR="00995E6D" w:rsidRDefault="00995E6D" w:rsidP="007260A5">
            <w:pPr>
              <w:rPr>
                <w:rFonts w:ascii="Arial" w:hAnsi="Arial" w:cs="Arial"/>
                <w:sz w:val="20"/>
                <w:szCs w:val="20"/>
              </w:rPr>
            </w:pPr>
            <w:r w:rsidRPr="00DE78C4">
              <w:rPr>
                <w:rFonts w:ascii="Arial" w:hAnsi="Arial" w:cs="Arial"/>
                <w:sz w:val="20"/>
                <w:szCs w:val="20"/>
              </w:rPr>
              <w:t xml:space="preserve">RCT </w:t>
            </w:r>
            <w:r w:rsidR="004305BA" w:rsidRPr="007260A5">
              <w:rPr>
                <w:rFonts w:ascii="Arial" w:hAnsi="Arial" w:cs="Arial"/>
                <w:sz w:val="28"/>
                <w:szCs w:val="28"/>
                <w:vertAlign w:val="superscript"/>
              </w:rPr>
              <w:t>14</w:t>
            </w:r>
          </w:p>
        </w:tc>
        <w:tc>
          <w:tcPr>
            <w:tcW w:w="1803" w:type="dxa"/>
          </w:tcPr>
          <w:p w:rsidR="004305BA" w:rsidRDefault="004305BA" w:rsidP="007260A5">
            <w:pPr>
              <w:rPr>
                <w:rFonts w:ascii="Arial" w:hAnsi="Arial" w:cs="Arial"/>
                <w:sz w:val="20"/>
                <w:szCs w:val="20"/>
              </w:rPr>
            </w:pPr>
            <w:r>
              <w:rPr>
                <w:rFonts w:ascii="Arial" w:hAnsi="Arial" w:cs="Arial"/>
                <w:sz w:val="20"/>
                <w:szCs w:val="20"/>
              </w:rPr>
              <w:t xml:space="preserve"> </w:t>
            </w:r>
          </w:p>
          <w:p w:rsidR="00995E6D" w:rsidRDefault="004305BA" w:rsidP="007260A5">
            <w:pPr>
              <w:rPr>
                <w:rFonts w:ascii="Arial" w:hAnsi="Arial" w:cs="Arial"/>
                <w:sz w:val="20"/>
                <w:szCs w:val="20"/>
              </w:rPr>
            </w:pPr>
            <w:r>
              <w:rPr>
                <w:rFonts w:ascii="Arial" w:hAnsi="Arial" w:cs="Arial"/>
                <w:sz w:val="20"/>
                <w:szCs w:val="20"/>
              </w:rPr>
              <w:t xml:space="preserve">One </w:t>
            </w:r>
            <w:r w:rsidRPr="007260A5">
              <w:rPr>
                <w:rFonts w:ascii="Arial" w:hAnsi="Arial" w:cs="Arial"/>
                <w:sz w:val="28"/>
                <w:szCs w:val="28"/>
                <w:vertAlign w:val="superscript"/>
              </w:rPr>
              <w:t>1</w:t>
            </w:r>
          </w:p>
        </w:tc>
        <w:tc>
          <w:tcPr>
            <w:tcW w:w="1803" w:type="dxa"/>
          </w:tcPr>
          <w:p w:rsidR="004305BA" w:rsidRDefault="004305BA" w:rsidP="007260A5">
            <w:pPr>
              <w:rPr>
                <w:rFonts w:ascii="Arial" w:hAnsi="Arial" w:cs="Arial"/>
                <w:sz w:val="28"/>
                <w:szCs w:val="28"/>
                <w:vertAlign w:val="superscript"/>
              </w:rPr>
            </w:pPr>
          </w:p>
          <w:p w:rsidR="00995E6D" w:rsidRPr="007260A5" w:rsidRDefault="00995E6D" w:rsidP="007260A5">
            <w:pPr>
              <w:rPr>
                <w:rFonts w:ascii="Arial" w:hAnsi="Arial" w:cs="Arial"/>
                <w:sz w:val="28"/>
                <w:szCs w:val="28"/>
                <w:vertAlign w:val="superscript"/>
              </w:rPr>
            </w:pPr>
            <w:r w:rsidRPr="007260A5">
              <w:rPr>
                <w:rFonts w:ascii="Arial" w:hAnsi="Arial" w:cs="Arial"/>
                <w:sz w:val="28"/>
                <w:szCs w:val="28"/>
                <w:vertAlign w:val="superscript"/>
              </w:rPr>
              <w:t>2, 3, 4,</w:t>
            </w:r>
            <w:r w:rsidR="004305BA" w:rsidRPr="007260A5">
              <w:rPr>
                <w:rFonts w:ascii="Arial" w:hAnsi="Arial" w:cs="Arial"/>
                <w:sz w:val="28"/>
                <w:szCs w:val="28"/>
                <w:vertAlign w:val="superscript"/>
              </w:rPr>
              <w:t xml:space="preserve"> 7,8,13 </w:t>
            </w:r>
          </w:p>
        </w:tc>
        <w:tc>
          <w:tcPr>
            <w:tcW w:w="1803" w:type="dxa"/>
          </w:tcPr>
          <w:p w:rsidR="00202306" w:rsidRDefault="00202306" w:rsidP="00EF1311">
            <w:pPr>
              <w:rPr>
                <w:rFonts w:ascii="Arial" w:hAnsi="Arial" w:cs="Arial"/>
                <w:sz w:val="20"/>
                <w:szCs w:val="20"/>
              </w:rPr>
            </w:pPr>
          </w:p>
          <w:p w:rsidR="004305BA" w:rsidRDefault="00995E6D" w:rsidP="00EF1311">
            <w:pPr>
              <w:rPr>
                <w:rFonts w:ascii="Arial" w:hAnsi="Arial" w:cs="Arial"/>
                <w:sz w:val="20"/>
                <w:szCs w:val="20"/>
              </w:rPr>
            </w:pPr>
            <w:r>
              <w:rPr>
                <w:rFonts w:ascii="Arial" w:hAnsi="Arial" w:cs="Arial"/>
                <w:sz w:val="20"/>
                <w:szCs w:val="20"/>
              </w:rPr>
              <w:t xml:space="preserve">Case series </w:t>
            </w:r>
          </w:p>
          <w:p w:rsidR="00995E6D" w:rsidRPr="007260A5" w:rsidRDefault="00995E6D" w:rsidP="00EF1311">
            <w:pPr>
              <w:rPr>
                <w:rFonts w:ascii="Arial" w:hAnsi="Arial" w:cs="Arial"/>
                <w:sz w:val="28"/>
                <w:szCs w:val="28"/>
                <w:vertAlign w:val="superscript"/>
              </w:rPr>
            </w:pPr>
            <w:r w:rsidRPr="007260A5">
              <w:rPr>
                <w:rFonts w:ascii="Arial" w:hAnsi="Arial" w:cs="Arial"/>
                <w:sz w:val="28"/>
                <w:szCs w:val="28"/>
                <w:vertAlign w:val="superscript"/>
              </w:rPr>
              <w:t>5,</w:t>
            </w:r>
            <w:r w:rsidR="004305BA">
              <w:rPr>
                <w:rFonts w:ascii="Arial" w:hAnsi="Arial" w:cs="Arial"/>
                <w:sz w:val="28"/>
                <w:szCs w:val="28"/>
                <w:vertAlign w:val="superscript"/>
              </w:rPr>
              <w:t xml:space="preserve"> </w:t>
            </w:r>
            <w:r w:rsidRPr="007260A5">
              <w:rPr>
                <w:rFonts w:ascii="Arial" w:hAnsi="Arial" w:cs="Arial"/>
                <w:sz w:val="28"/>
                <w:szCs w:val="28"/>
                <w:vertAlign w:val="superscript"/>
              </w:rPr>
              <w:t>6, 10, 12</w:t>
            </w:r>
          </w:p>
          <w:p w:rsidR="00995E6D" w:rsidRDefault="00995E6D" w:rsidP="00EF1311">
            <w:pPr>
              <w:rPr>
                <w:rFonts w:ascii="Arial" w:hAnsi="Arial" w:cs="Arial"/>
                <w:sz w:val="20"/>
                <w:szCs w:val="20"/>
              </w:rPr>
            </w:pPr>
          </w:p>
        </w:tc>
        <w:tc>
          <w:tcPr>
            <w:tcW w:w="1804" w:type="dxa"/>
          </w:tcPr>
          <w:p w:rsidR="004305BA" w:rsidRDefault="004305BA" w:rsidP="007260A5">
            <w:pPr>
              <w:rPr>
                <w:rFonts w:ascii="Arial" w:hAnsi="Arial" w:cs="Arial"/>
                <w:sz w:val="20"/>
                <w:szCs w:val="20"/>
              </w:rPr>
            </w:pPr>
          </w:p>
          <w:p w:rsidR="00995E6D" w:rsidRDefault="00995E6D" w:rsidP="007260A5">
            <w:pPr>
              <w:rPr>
                <w:rFonts w:ascii="Arial" w:hAnsi="Arial" w:cs="Arial"/>
                <w:sz w:val="20"/>
                <w:szCs w:val="20"/>
              </w:rPr>
            </w:pPr>
            <w:r>
              <w:rPr>
                <w:rFonts w:ascii="Arial" w:hAnsi="Arial" w:cs="Arial"/>
                <w:sz w:val="20"/>
                <w:szCs w:val="20"/>
              </w:rPr>
              <w:t xml:space="preserve">Bench studies </w:t>
            </w:r>
            <w:r w:rsidR="004305BA" w:rsidRPr="007260A5">
              <w:rPr>
                <w:rFonts w:ascii="Arial" w:hAnsi="Arial" w:cs="Arial"/>
                <w:sz w:val="28"/>
                <w:szCs w:val="28"/>
                <w:vertAlign w:val="superscript"/>
              </w:rPr>
              <w:t>11,15</w:t>
            </w:r>
          </w:p>
        </w:tc>
      </w:tr>
      <w:tr w:rsidR="00995E6D" w:rsidTr="009B23E0">
        <w:tc>
          <w:tcPr>
            <w:tcW w:w="1803" w:type="dxa"/>
          </w:tcPr>
          <w:p w:rsidR="00995E6D" w:rsidRDefault="00995E6D" w:rsidP="009857B4">
            <w:pPr>
              <w:rPr>
                <w:rFonts w:ascii="Arial" w:hAnsi="Arial" w:cs="Arial"/>
                <w:sz w:val="20"/>
                <w:szCs w:val="20"/>
              </w:rPr>
            </w:pPr>
          </w:p>
        </w:tc>
        <w:tc>
          <w:tcPr>
            <w:tcW w:w="1803" w:type="dxa"/>
          </w:tcPr>
          <w:p w:rsidR="00995E6D" w:rsidRDefault="00995E6D" w:rsidP="009857B4">
            <w:pPr>
              <w:rPr>
                <w:rFonts w:ascii="Arial" w:hAnsi="Arial" w:cs="Arial"/>
                <w:sz w:val="20"/>
                <w:szCs w:val="20"/>
              </w:rPr>
            </w:pPr>
          </w:p>
        </w:tc>
        <w:tc>
          <w:tcPr>
            <w:tcW w:w="1803" w:type="dxa"/>
          </w:tcPr>
          <w:p w:rsidR="00995E6D" w:rsidRDefault="00995E6D" w:rsidP="00EF1311">
            <w:pPr>
              <w:rPr>
                <w:rFonts w:ascii="Arial" w:hAnsi="Arial" w:cs="Arial"/>
                <w:sz w:val="20"/>
                <w:szCs w:val="20"/>
              </w:rPr>
            </w:pPr>
          </w:p>
        </w:tc>
        <w:tc>
          <w:tcPr>
            <w:tcW w:w="1803" w:type="dxa"/>
          </w:tcPr>
          <w:p w:rsidR="00995E6D" w:rsidRDefault="00995E6D" w:rsidP="00EF1311">
            <w:pPr>
              <w:rPr>
                <w:rFonts w:ascii="Arial" w:hAnsi="Arial" w:cs="Arial"/>
                <w:sz w:val="20"/>
                <w:szCs w:val="20"/>
              </w:rPr>
            </w:pPr>
            <w:r>
              <w:rPr>
                <w:rFonts w:ascii="Arial" w:hAnsi="Arial" w:cs="Arial"/>
                <w:sz w:val="20"/>
                <w:szCs w:val="20"/>
              </w:rPr>
              <w:t>Case studies</w:t>
            </w:r>
          </w:p>
          <w:p w:rsidR="00995E6D" w:rsidRPr="007260A5" w:rsidRDefault="00995E6D">
            <w:pPr>
              <w:rPr>
                <w:rFonts w:ascii="Arial" w:hAnsi="Arial" w:cs="Arial"/>
                <w:sz w:val="28"/>
                <w:szCs w:val="28"/>
                <w:vertAlign w:val="superscript"/>
              </w:rPr>
            </w:pPr>
            <w:r w:rsidRPr="007260A5">
              <w:rPr>
                <w:rFonts w:ascii="Arial" w:hAnsi="Arial" w:cs="Arial"/>
                <w:sz w:val="28"/>
                <w:szCs w:val="28"/>
                <w:vertAlign w:val="superscript"/>
              </w:rPr>
              <w:t>9, 16</w:t>
            </w:r>
            <w:r w:rsidR="004305BA">
              <w:rPr>
                <w:rFonts w:ascii="Arial" w:hAnsi="Arial" w:cs="Arial"/>
                <w:sz w:val="28"/>
                <w:szCs w:val="28"/>
                <w:vertAlign w:val="superscript"/>
              </w:rPr>
              <w:t>, 17</w:t>
            </w:r>
          </w:p>
          <w:p w:rsidR="00995E6D" w:rsidRDefault="00995E6D">
            <w:pPr>
              <w:rPr>
                <w:rFonts w:ascii="Arial" w:hAnsi="Arial" w:cs="Arial"/>
                <w:sz w:val="20"/>
                <w:szCs w:val="20"/>
              </w:rPr>
            </w:pPr>
          </w:p>
        </w:tc>
        <w:tc>
          <w:tcPr>
            <w:tcW w:w="1804" w:type="dxa"/>
          </w:tcPr>
          <w:p w:rsidR="00995E6D" w:rsidRDefault="00995E6D" w:rsidP="00EF1311">
            <w:pPr>
              <w:rPr>
                <w:rFonts w:ascii="Arial" w:hAnsi="Arial" w:cs="Arial"/>
                <w:sz w:val="20"/>
                <w:szCs w:val="20"/>
              </w:rPr>
            </w:pPr>
          </w:p>
        </w:tc>
      </w:tr>
    </w:tbl>
    <w:p w:rsidR="00CB45AD" w:rsidRDefault="00CB45AD" w:rsidP="00877458">
      <w:pPr>
        <w:rPr>
          <w:rFonts w:ascii="Arial" w:hAnsi="Arial" w:cs="Arial"/>
          <w:b/>
        </w:rPr>
      </w:pPr>
    </w:p>
    <w:p w:rsidR="00A72A24" w:rsidRPr="00B82B86" w:rsidRDefault="008A3C15" w:rsidP="00FD3078">
      <w:pPr>
        <w:rPr>
          <w:rFonts w:ascii="Arial" w:hAnsi="Arial" w:cs="Arial"/>
        </w:rPr>
      </w:pPr>
      <w:r>
        <w:rPr>
          <w:rFonts w:ascii="Arial" w:hAnsi="Arial" w:cs="Arial"/>
          <w:b/>
        </w:rPr>
        <w:t>EVIDENCE</w:t>
      </w:r>
    </w:p>
    <w:p w:rsidR="00A72A24" w:rsidRPr="0061285A" w:rsidRDefault="00A72A24" w:rsidP="009F2451">
      <w:pPr>
        <w:rPr>
          <w:rFonts w:ascii="Arial" w:hAnsi="Arial" w:cs="Arial"/>
          <w:i/>
          <w:u w:val="single"/>
        </w:rPr>
      </w:pPr>
      <w:r w:rsidRPr="0061285A">
        <w:rPr>
          <w:rFonts w:ascii="Arial" w:hAnsi="Arial" w:cs="Arial"/>
          <w:i/>
          <w:u w:val="single"/>
        </w:rPr>
        <w:t>Types of wounds</w:t>
      </w:r>
    </w:p>
    <w:p w:rsidR="00A72A24" w:rsidRPr="00B82B86" w:rsidRDefault="00A72A24" w:rsidP="009F3DB3">
      <w:pPr>
        <w:rPr>
          <w:rFonts w:ascii="Arial" w:hAnsi="Arial" w:cs="Arial"/>
        </w:rPr>
      </w:pPr>
    </w:p>
    <w:p w:rsidR="00A72A24" w:rsidRPr="00B82B86" w:rsidRDefault="00A72A24" w:rsidP="009F3DB3">
      <w:pPr>
        <w:rPr>
          <w:rFonts w:ascii="Arial" w:hAnsi="Arial" w:cs="Arial"/>
        </w:rPr>
      </w:pPr>
      <w:r w:rsidRPr="00B82B86">
        <w:rPr>
          <w:rFonts w:ascii="Arial" w:hAnsi="Arial" w:cs="Arial"/>
        </w:rPr>
        <w:t>Evidence on the use of citric acid for wound irrigation and/or topical application has been reported for a range of wounds including burns,</w:t>
      </w:r>
      <w:r w:rsidR="001C1272" w:rsidRPr="00B82B86">
        <w:rPr>
          <w:rFonts w:ascii="Arial" w:hAnsi="Arial" w:cs="Arial"/>
          <w:noProof/>
          <w:vertAlign w:val="superscript"/>
        </w:rPr>
        <w:t>1</w:t>
      </w:r>
      <w:r w:rsidRPr="00B82B86">
        <w:rPr>
          <w:rFonts w:ascii="Arial" w:hAnsi="Arial" w:cs="Arial"/>
        </w:rPr>
        <w:t xml:space="preserve"> foot ulcers,</w:t>
      </w:r>
      <w:r w:rsidR="001C1272" w:rsidRPr="00B82B86">
        <w:rPr>
          <w:rFonts w:ascii="Arial" w:hAnsi="Arial" w:cs="Arial"/>
          <w:noProof/>
          <w:vertAlign w:val="superscript"/>
        </w:rPr>
        <w:t>2,</w:t>
      </w:r>
      <w:r w:rsidRPr="00B82B86">
        <w:rPr>
          <w:rFonts w:ascii="Arial" w:hAnsi="Arial" w:cs="Arial"/>
          <w:noProof/>
          <w:vertAlign w:val="superscript"/>
        </w:rPr>
        <w:t>3</w:t>
      </w:r>
      <w:r w:rsidRPr="00B82B86">
        <w:rPr>
          <w:rFonts w:ascii="Arial" w:hAnsi="Arial" w:cs="Arial"/>
        </w:rPr>
        <w:t xml:space="preserve"> </w:t>
      </w:r>
      <w:r w:rsidR="001C1272" w:rsidRPr="00B82B86">
        <w:rPr>
          <w:rFonts w:ascii="Arial" w:hAnsi="Arial" w:cs="Arial"/>
        </w:rPr>
        <w:t>traumatic wounds,</w:t>
      </w:r>
      <w:r w:rsidR="001C1272" w:rsidRPr="00B82B86">
        <w:rPr>
          <w:rFonts w:ascii="Arial" w:hAnsi="Arial" w:cs="Arial"/>
          <w:noProof/>
          <w:vertAlign w:val="superscript"/>
        </w:rPr>
        <w:t>4</w:t>
      </w:r>
      <w:r w:rsidR="001C1272" w:rsidRPr="00B82B86">
        <w:rPr>
          <w:rFonts w:ascii="Arial" w:hAnsi="Arial" w:cs="Arial"/>
          <w:noProof/>
        </w:rPr>
        <w:t xml:space="preserve"> </w:t>
      </w:r>
      <w:r w:rsidR="001C1272" w:rsidRPr="00B82B86">
        <w:rPr>
          <w:rFonts w:ascii="Arial" w:hAnsi="Arial" w:cs="Arial"/>
        </w:rPr>
        <w:t>necrotising fasciitis,</w:t>
      </w:r>
      <w:r w:rsidR="001C1272" w:rsidRPr="00B82B86">
        <w:rPr>
          <w:rFonts w:ascii="Arial" w:hAnsi="Arial" w:cs="Arial"/>
          <w:noProof/>
          <w:vertAlign w:val="superscript"/>
        </w:rPr>
        <w:t>5</w:t>
      </w:r>
      <w:r w:rsidRPr="00B82B86">
        <w:rPr>
          <w:rFonts w:ascii="Arial" w:hAnsi="Arial" w:cs="Arial"/>
        </w:rPr>
        <w:t xml:space="preserve"> </w:t>
      </w:r>
      <w:r w:rsidR="001C1272" w:rsidRPr="00B82B86">
        <w:rPr>
          <w:rFonts w:ascii="Arial" w:hAnsi="Arial" w:cs="Arial"/>
        </w:rPr>
        <w:t>bursitis,</w:t>
      </w:r>
      <w:r w:rsidR="001C1272" w:rsidRPr="00B82B86">
        <w:rPr>
          <w:rFonts w:ascii="Arial" w:hAnsi="Arial" w:cs="Arial"/>
          <w:noProof/>
          <w:vertAlign w:val="superscript"/>
        </w:rPr>
        <w:t>6</w:t>
      </w:r>
      <w:r w:rsidRPr="00B82B86">
        <w:rPr>
          <w:rFonts w:ascii="Arial" w:hAnsi="Arial" w:cs="Arial"/>
        </w:rPr>
        <w:t xml:space="preserve"> lepromatous (Hansen’s disease) </w:t>
      </w:r>
      <w:r w:rsidR="001C1272" w:rsidRPr="00B82B86">
        <w:rPr>
          <w:rFonts w:ascii="Arial" w:hAnsi="Arial" w:cs="Arial"/>
        </w:rPr>
        <w:t>ulcers</w:t>
      </w:r>
      <w:r w:rsidR="001C1272" w:rsidRPr="00B82B86">
        <w:rPr>
          <w:rFonts w:ascii="Arial" w:hAnsi="Arial" w:cs="Arial"/>
          <w:noProof/>
          <w:vertAlign w:val="superscript"/>
        </w:rPr>
        <w:t>7</w:t>
      </w:r>
      <w:r w:rsidRPr="00B82B86">
        <w:rPr>
          <w:rFonts w:ascii="Arial" w:hAnsi="Arial" w:cs="Arial"/>
        </w:rPr>
        <w:t xml:space="preserve"> and surgical site infections.</w:t>
      </w:r>
      <w:r w:rsidR="001C1272" w:rsidRPr="00B82B86">
        <w:rPr>
          <w:rFonts w:ascii="Arial" w:hAnsi="Arial" w:cs="Arial"/>
          <w:noProof/>
          <w:vertAlign w:val="superscript"/>
        </w:rPr>
        <w:t>8-10</w:t>
      </w:r>
    </w:p>
    <w:p w:rsidR="00A72A24" w:rsidRPr="00B82B86" w:rsidRDefault="00A72A24" w:rsidP="004D370B">
      <w:pPr>
        <w:rPr>
          <w:rFonts w:ascii="Arial" w:hAnsi="Arial" w:cs="Arial"/>
          <w:u w:val="single"/>
        </w:rPr>
      </w:pPr>
    </w:p>
    <w:p w:rsidR="00A72A24" w:rsidRPr="0061285A" w:rsidRDefault="00A72A24" w:rsidP="004D370B">
      <w:pPr>
        <w:rPr>
          <w:rFonts w:ascii="Arial" w:hAnsi="Arial" w:cs="Arial"/>
          <w:i/>
          <w:u w:val="single"/>
        </w:rPr>
      </w:pPr>
      <w:r w:rsidRPr="0061285A">
        <w:rPr>
          <w:rFonts w:ascii="Arial" w:hAnsi="Arial" w:cs="Arial"/>
          <w:i/>
          <w:u w:val="single"/>
        </w:rPr>
        <w:t>Microbiology and histology</w:t>
      </w:r>
    </w:p>
    <w:p w:rsidR="00A72A24" w:rsidRPr="00B82B86" w:rsidRDefault="00A72A24" w:rsidP="00F24DBB">
      <w:pPr>
        <w:rPr>
          <w:rFonts w:ascii="Arial" w:hAnsi="Arial" w:cs="Arial"/>
          <w:color w:val="000000"/>
        </w:rPr>
      </w:pPr>
    </w:p>
    <w:p w:rsidR="00A72A24" w:rsidRPr="00B82B86" w:rsidRDefault="00A72A24" w:rsidP="00F24DBB">
      <w:pPr>
        <w:rPr>
          <w:rFonts w:ascii="Arial" w:hAnsi="Arial" w:cs="Arial"/>
          <w:color w:val="000000"/>
        </w:rPr>
      </w:pPr>
      <w:r w:rsidRPr="00B82B86">
        <w:rPr>
          <w:rFonts w:ascii="Arial" w:hAnsi="Arial" w:cs="Arial"/>
          <w:color w:val="000000"/>
        </w:rPr>
        <w:t xml:space="preserve">A study tested the effectiveness of four topical antiseptics against multi-drug resistant </w:t>
      </w:r>
      <w:r w:rsidRPr="00B82B86">
        <w:rPr>
          <w:rFonts w:ascii="Arial" w:hAnsi="Arial" w:cs="Arial"/>
          <w:i/>
          <w:color w:val="000000"/>
        </w:rPr>
        <w:t xml:space="preserve">Pseudomonas aeruginosa </w:t>
      </w:r>
      <w:r w:rsidRPr="00B82B86">
        <w:rPr>
          <w:rFonts w:ascii="Arial" w:hAnsi="Arial" w:cs="Arial"/>
          <w:color w:val="000000"/>
        </w:rPr>
        <w:t>in full thickness burns in rats</w:t>
      </w:r>
      <w:r w:rsidRPr="00B82B86">
        <w:rPr>
          <w:rFonts w:ascii="Arial" w:hAnsi="Arial" w:cs="Arial"/>
          <w:i/>
          <w:color w:val="000000"/>
        </w:rPr>
        <w:t xml:space="preserve">. </w:t>
      </w:r>
      <w:r w:rsidRPr="00B82B86">
        <w:rPr>
          <w:rFonts w:ascii="Arial" w:hAnsi="Arial" w:cs="Arial"/>
          <w:color w:val="000000"/>
        </w:rPr>
        <w:t>Only two of the antiseptic dressings - nanocrystalline silver coated and silver sulphadiazine 1% dressings - were effective (p&lt;0.05), while the results for chlorhexidine acetate and citric acid 3% were not significant.</w:t>
      </w:r>
      <w:r w:rsidR="0085514B" w:rsidRPr="00B82B86">
        <w:rPr>
          <w:rFonts w:ascii="Arial" w:hAnsi="Arial" w:cs="Arial"/>
          <w:noProof/>
          <w:color w:val="000000"/>
          <w:vertAlign w:val="superscript"/>
        </w:rPr>
        <w:t>11</w:t>
      </w:r>
      <w:r w:rsidR="0085514B" w:rsidRPr="00B82B86">
        <w:rPr>
          <w:rFonts w:ascii="Arial" w:hAnsi="Arial" w:cs="Arial"/>
          <w:noProof/>
          <w:color w:val="000000"/>
        </w:rPr>
        <w:t xml:space="preserve"> </w:t>
      </w:r>
      <w:r w:rsidRPr="00B82B86">
        <w:rPr>
          <w:rFonts w:ascii="Arial" w:hAnsi="Arial" w:cs="Arial"/>
          <w:color w:val="000000"/>
        </w:rPr>
        <w:t>(Level 5</w:t>
      </w:r>
      <w:r w:rsidR="0010472E">
        <w:rPr>
          <w:rFonts w:ascii="Arial" w:hAnsi="Arial" w:cs="Arial"/>
          <w:color w:val="000000"/>
        </w:rPr>
        <w:t xml:space="preserve"> evidence</w:t>
      </w:r>
      <w:r w:rsidRPr="00B82B86">
        <w:rPr>
          <w:rFonts w:ascii="Arial" w:hAnsi="Arial" w:cs="Arial"/>
          <w:color w:val="000000"/>
        </w:rPr>
        <w:t xml:space="preserve">) </w:t>
      </w:r>
    </w:p>
    <w:p w:rsidR="00A72A24" w:rsidRPr="00B82B86" w:rsidRDefault="00A72A24" w:rsidP="00F24DBB">
      <w:pPr>
        <w:rPr>
          <w:rFonts w:ascii="Arial" w:hAnsi="Arial" w:cs="Arial"/>
        </w:rPr>
      </w:pPr>
    </w:p>
    <w:p w:rsidR="00A72A24" w:rsidRPr="00B82B86" w:rsidRDefault="00A72A24" w:rsidP="00831CFD">
      <w:pPr>
        <w:rPr>
          <w:rFonts w:ascii="Arial" w:hAnsi="Arial" w:cs="Arial"/>
        </w:rPr>
      </w:pPr>
      <w:r w:rsidRPr="00B82B86">
        <w:rPr>
          <w:rFonts w:ascii="Arial" w:hAnsi="Arial" w:cs="Arial"/>
        </w:rPr>
        <w:t xml:space="preserve">In a study of patients with chronic wounds infected with multiple antibiotic-resistant </w:t>
      </w:r>
      <w:proofErr w:type="spellStart"/>
      <w:r w:rsidRPr="00B82B86">
        <w:rPr>
          <w:rFonts w:ascii="Arial" w:hAnsi="Arial" w:cs="Arial"/>
          <w:i/>
        </w:rPr>
        <w:t>E.Coli</w:t>
      </w:r>
      <w:proofErr w:type="spellEnd"/>
      <w:r w:rsidRPr="00B82B86">
        <w:rPr>
          <w:rFonts w:ascii="Arial" w:hAnsi="Arial" w:cs="Arial"/>
        </w:rPr>
        <w:t>, the bacteria were eliminated and the wounds completed healed in all 34 patients following daily application of 3% citric acid (range 7-42), with diabetic foot and Hansen’s disease ul</w:t>
      </w:r>
      <w:r w:rsidR="00FF55A8" w:rsidRPr="00B82B86">
        <w:rPr>
          <w:rFonts w:ascii="Arial" w:hAnsi="Arial" w:cs="Arial"/>
        </w:rPr>
        <w:t>cers taking the longest to heal.</w:t>
      </w:r>
      <w:r w:rsidRPr="00B82B86">
        <w:rPr>
          <w:rFonts w:ascii="Arial" w:hAnsi="Arial" w:cs="Arial"/>
          <w:vertAlign w:val="superscript"/>
        </w:rPr>
        <w:t xml:space="preserve"> </w:t>
      </w:r>
      <w:r w:rsidR="00FF55A8" w:rsidRPr="00B82B86">
        <w:rPr>
          <w:rFonts w:ascii="Arial" w:hAnsi="Arial" w:cs="Arial"/>
          <w:noProof/>
          <w:vertAlign w:val="superscript"/>
        </w:rPr>
        <w:t>3</w:t>
      </w:r>
      <w:r w:rsidR="0010472E">
        <w:rPr>
          <w:rFonts w:ascii="Arial" w:hAnsi="Arial" w:cs="Arial"/>
        </w:rPr>
        <w:t xml:space="preserve"> (Level 4 evidence</w:t>
      </w:r>
      <w:r w:rsidRPr="00B82B86">
        <w:rPr>
          <w:rFonts w:ascii="Arial" w:hAnsi="Arial" w:cs="Arial"/>
        </w:rPr>
        <w:t>)</w:t>
      </w:r>
    </w:p>
    <w:p w:rsidR="00A72A24" w:rsidRPr="00B82B86" w:rsidRDefault="00A72A24" w:rsidP="00831CFD">
      <w:pPr>
        <w:rPr>
          <w:rFonts w:ascii="Arial" w:hAnsi="Arial" w:cs="Arial"/>
        </w:rPr>
      </w:pPr>
    </w:p>
    <w:p w:rsidR="00A72A24" w:rsidRPr="00B82B86" w:rsidRDefault="00A72A24" w:rsidP="00321A6E">
      <w:pPr>
        <w:rPr>
          <w:rFonts w:ascii="Arial" w:hAnsi="Arial" w:cs="Arial"/>
        </w:rPr>
      </w:pPr>
      <w:r w:rsidRPr="00B82B86">
        <w:rPr>
          <w:rFonts w:ascii="Arial" w:hAnsi="Arial" w:cs="Arial"/>
        </w:rPr>
        <w:t xml:space="preserve">In two cases M&amp;CS conducted before and after application of citric acid to non-diabetic foot ulcers showed eradication of multiple antibiotic-resistant </w:t>
      </w:r>
      <w:r w:rsidRPr="00B82B86">
        <w:rPr>
          <w:rFonts w:ascii="Arial" w:hAnsi="Arial" w:cs="Arial"/>
          <w:i/>
        </w:rPr>
        <w:t>S. aureus</w:t>
      </w:r>
      <w:r w:rsidRPr="00B82B86">
        <w:rPr>
          <w:rFonts w:ascii="Arial" w:hAnsi="Arial" w:cs="Arial"/>
        </w:rPr>
        <w:t xml:space="preserve"> after six treatments and </w:t>
      </w:r>
      <w:r w:rsidRPr="00B82B86">
        <w:rPr>
          <w:rFonts w:ascii="Arial" w:hAnsi="Arial" w:cs="Arial"/>
          <w:i/>
        </w:rPr>
        <w:t>E. coli</w:t>
      </w:r>
      <w:r w:rsidRPr="00B82B86">
        <w:rPr>
          <w:rFonts w:ascii="Arial" w:hAnsi="Arial" w:cs="Arial"/>
        </w:rPr>
        <w:t xml:space="preserve"> after two treatments. The number of colonies cultured before the application of citric acid was unclear, although in the second case there was active pus discharge (i.e. the ulcer in the first case may not have been clinically infected) Histological findings from the same study showed development of blood vessels and proliferating fibroblasts after two to six days in the ulcers irrigated daily with 3% citric acid and dressed with a 3% citric acid soaked pad.</w:t>
      </w:r>
      <w:r w:rsidR="00FF55A8" w:rsidRPr="00B82B86">
        <w:rPr>
          <w:rFonts w:ascii="Arial" w:hAnsi="Arial" w:cs="Arial"/>
          <w:noProof/>
          <w:vertAlign w:val="superscript"/>
        </w:rPr>
        <w:t>12</w:t>
      </w:r>
      <w:r w:rsidR="00FF55A8" w:rsidRPr="00B82B86">
        <w:rPr>
          <w:rFonts w:ascii="Arial" w:hAnsi="Arial" w:cs="Arial"/>
          <w:noProof/>
        </w:rPr>
        <w:t xml:space="preserve"> </w:t>
      </w:r>
      <w:r w:rsidR="0010472E">
        <w:rPr>
          <w:rFonts w:ascii="Arial" w:hAnsi="Arial" w:cs="Arial"/>
        </w:rPr>
        <w:t xml:space="preserve">(Level 4 </w:t>
      </w:r>
      <w:r w:rsidRPr="00B82B86">
        <w:rPr>
          <w:rFonts w:ascii="Arial" w:hAnsi="Arial" w:cs="Arial"/>
        </w:rPr>
        <w:t xml:space="preserve">evidence) </w:t>
      </w:r>
    </w:p>
    <w:p w:rsidR="00A72A24" w:rsidRPr="00B82B86" w:rsidRDefault="00A72A24" w:rsidP="00321A6E">
      <w:pPr>
        <w:rPr>
          <w:rFonts w:ascii="Arial" w:hAnsi="Arial" w:cs="Arial"/>
        </w:rPr>
      </w:pPr>
    </w:p>
    <w:p w:rsidR="00A72A24" w:rsidRPr="00B82B86" w:rsidRDefault="00A72A24" w:rsidP="00077A7A">
      <w:pPr>
        <w:rPr>
          <w:rFonts w:ascii="Arial" w:hAnsi="Arial" w:cs="Arial"/>
        </w:rPr>
      </w:pPr>
      <w:r w:rsidRPr="00B82B86">
        <w:rPr>
          <w:rFonts w:ascii="Arial" w:hAnsi="Arial" w:cs="Arial"/>
        </w:rPr>
        <w:t xml:space="preserve">In cases in which </w:t>
      </w:r>
      <w:r w:rsidRPr="00B82B86">
        <w:rPr>
          <w:rFonts w:ascii="Arial" w:hAnsi="Arial" w:cs="Arial"/>
          <w:color w:val="222222"/>
          <w:shd w:val="clear" w:color="auto" w:fill="FFFFFF"/>
        </w:rPr>
        <w:t xml:space="preserve">MC&amp;S had been performed, other organisms that were sensitive to 3% citric acid included </w:t>
      </w:r>
      <w:r w:rsidRPr="00B82B86">
        <w:rPr>
          <w:rFonts w:ascii="Arial" w:hAnsi="Arial" w:cs="Arial"/>
          <w:color w:val="000000" w:themeColor="text1"/>
          <w:szCs w:val="24"/>
        </w:rPr>
        <w:t>streptococci,</w:t>
      </w:r>
      <w:r w:rsidRPr="00B82B86">
        <w:rPr>
          <w:rFonts w:ascii="Arial" w:hAnsi="Arial" w:cs="Arial"/>
        </w:rPr>
        <w:t xml:space="preserve"> </w:t>
      </w:r>
      <w:proofErr w:type="spellStart"/>
      <w:r w:rsidRPr="00B82B86">
        <w:rPr>
          <w:rFonts w:ascii="Arial" w:hAnsi="Arial" w:cs="Arial"/>
          <w:i/>
          <w:color w:val="000000" w:themeColor="text1"/>
          <w:szCs w:val="24"/>
        </w:rPr>
        <w:t>Klebsiella</w:t>
      </w:r>
      <w:proofErr w:type="spellEnd"/>
      <w:r w:rsidRPr="00B82B86">
        <w:rPr>
          <w:rFonts w:ascii="Arial" w:hAnsi="Arial" w:cs="Arial"/>
          <w:i/>
          <w:color w:val="000000" w:themeColor="text1"/>
          <w:szCs w:val="24"/>
        </w:rPr>
        <w:t xml:space="preserve"> </w:t>
      </w:r>
      <w:proofErr w:type="spellStart"/>
      <w:r w:rsidRPr="00B82B86">
        <w:rPr>
          <w:rFonts w:ascii="Arial" w:hAnsi="Arial" w:cs="Arial"/>
          <w:color w:val="000000" w:themeColor="text1"/>
          <w:szCs w:val="24"/>
        </w:rPr>
        <w:t>spp</w:t>
      </w:r>
      <w:proofErr w:type="spellEnd"/>
      <w:r w:rsidRPr="00B82B86">
        <w:rPr>
          <w:rFonts w:ascii="Arial" w:hAnsi="Arial" w:cs="Arial"/>
          <w:i/>
          <w:color w:val="000000" w:themeColor="text1"/>
          <w:szCs w:val="24"/>
        </w:rPr>
        <w:t xml:space="preserve">, </w:t>
      </w:r>
      <w:proofErr w:type="spellStart"/>
      <w:r w:rsidRPr="00B82B86">
        <w:rPr>
          <w:rFonts w:ascii="Arial" w:hAnsi="Arial" w:cs="Arial"/>
          <w:i/>
          <w:color w:val="000000" w:themeColor="text1"/>
          <w:szCs w:val="24"/>
        </w:rPr>
        <w:t>Citrobactre</w:t>
      </w:r>
      <w:proofErr w:type="spellEnd"/>
      <w:r w:rsidRPr="00B82B86">
        <w:rPr>
          <w:rFonts w:ascii="Arial" w:hAnsi="Arial" w:cs="Arial"/>
          <w:i/>
          <w:color w:val="000000" w:themeColor="text1"/>
          <w:szCs w:val="24"/>
        </w:rPr>
        <w:t xml:space="preserve"> </w:t>
      </w:r>
      <w:proofErr w:type="spellStart"/>
      <w:proofErr w:type="gramStart"/>
      <w:r w:rsidRPr="00B82B86">
        <w:rPr>
          <w:rFonts w:ascii="Arial" w:hAnsi="Arial" w:cs="Arial"/>
          <w:color w:val="000000" w:themeColor="text1"/>
          <w:szCs w:val="24"/>
        </w:rPr>
        <w:t>spp</w:t>
      </w:r>
      <w:proofErr w:type="spellEnd"/>
      <w:r w:rsidRPr="00B82B86">
        <w:rPr>
          <w:rFonts w:ascii="Arial" w:hAnsi="Arial" w:cs="Arial"/>
          <w:color w:val="000000" w:themeColor="text1"/>
          <w:szCs w:val="24"/>
        </w:rPr>
        <w:t xml:space="preserve"> </w:t>
      </w:r>
      <w:r w:rsidRPr="00B82B86">
        <w:rPr>
          <w:rFonts w:ascii="Arial" w:hAnsi="Arial" w:cs="Arial"/>
          <w:i/>
          <w:color w:val="000000" w:themeColor="text1"/>
          <w:szCs w:val="24"/>
        </w:rPr>
        <w:t>,Staphylococcus</w:t>
      </w:r>
      <w:proofErr w:type="gramEnd"/>
      <w:r w:rsidRPr="00B82B86">
        <w:rPr>
          <w:rFonts w:ascii="Arial" w:hAnsi="Arial" w:cs="Arial"/>
          <w:i/>
          <w:color w:val="000000" w:themeColor="text1"/>
          <w:szCs w:val="24"/>
        </w:rPr>
        <w:t xml:space="preserve"> </w:t>
      </w:r>
      <w:proofErr w:type="spellStart"/>
      <w:r w:rsidRPr="00B82B86">
        <w:rPr>
          <w:rFonts w:ascii="Arial" w:hAnsi="Arial" w:cs="Arial"/>
          <w:i/>
          <w:color w:val="000000" w:themeColor="text1"/>
          <w:szCs w:val="24"/>
        </w:rPr>
        <w:t>albus</w:t>
      </w:r>
      <w:proofErr w:type="spellEnd"/>
      <w:r w:rsidRPr="00B82B86">
        <w:rPr>
          <w:rFonts w:ascii="Arial" w:hAnsi="Arial" w:cs="Arial"/>
          <w:i/>
          <w:color w:val="000000" w:themeColor="text1"/>
          <w:szCs w:val="24"/>
        </w:rPr>
        <w:t xml:space="preserve"> and Proteus </w:t>
      </w:r>
      <w:r w:rsidRPr="00B82B86">
        <w:rPr>
          <w:rFonts w:ascii="Arial" w:hAnsi="Arial" w:cs="Arial"/>
          <w:color w:val="000000" w:themeColor="text1"/>
          <w:szCs w:val="24"/>
        </w:rPr>
        <w:t>spp</w:t>
      </w:r>
      <w:r w:rsidRPr="00B82B86">
        <w:rPr>
          <w:rFonts w:ascii="Arial" w:hAnsi="Arial" w:cs="Arial"/>
          <w:i/>
          <w:color w:val="000000" w:themeColor="text1"/>
          <w:szCs w:val="24"/>
        </w:rPr>
        <w:t>.</w:t>
      </w:r>
      <w:r w:rsidRPr="00B82B86">
        <w:rPr>
          <w:rFonts w:ascii="Arial" w:hAnsi="Arial" w:cs="Arial"/>
        </w:rPr>
        <w:t xml:space="preserve">  In a number of cases the isolated organisms were found to be sensitive to citric acid while being resistant to a wide range of antibiotics.</w:t>
      </w:r>
      <w:r w:rsidR="00767C82" w:rsidRPr="00B82B86">
        <w:rPr>
          <w:rFonts w:ascii="Arial" w:hAnsi="Arial" w:cs="Arial"/>
          <w:noProof/>
          <w:vertAlign w:val="superscript"/>
        </w:rPr>
        <w:t>1, 2, 4, 7, 8, 13</w:t>
      </w:r>
      <w:r w:rsidR="0010472E">
        <w:rPr>
          <w:rFonts w:ascii="Arial" w:hAnsi="Arial" w:cs="Arial"/>
          <w:noProof/>
          <w:vertAlign w:val="superscript"/>
        </w:rPr>
        <w:t xml:space="preserve"> </w:t>
      </w:r>
      <w:r w:rsidR="0010472E">
        <w:rPr>
          <w:rFonts w:ascii="Arial" w:hAnsi="Arial" w:cs="Arial"/>
        </w:rPr>
        <w:t>(Level 5</w:t>
      </w:r>
      <w:r w:rsidRPr="00B82B86">
        <w:rPr>
          <w:rFonts w:ascii="Arial" w:hAnsi="Arial" w:cs="Arial"/>
        </w:rPr>
        <w:t xml:space="preserve"> evidence)</w:t>
      </w:r>
    </w:p>
    <w:p w:rsidR="00A72A24" w:rsidRPr="00B82B86" w:rsidRDefault="00A72A24" w:rsidP="00077A7A">
      <w:pPr>
        <w:rPr>
          <w:rFonts w:ascii="Arial" w:hAnsi="Arial" w:cs="Arial"/>
        </w:rPr>
      </w:pPr>
    </w:p>
    <w:p w:rsidR="00A72A24" w:rsidRPr="00B82B86" w:rsidRDefault="00A72A24" w:rsidP="00077A7A">
      <w:pPr>
        <w:rPr>
          <w:rFonts w:ascii="Arial" w:hAnsi="Arial" w:cs="Arial"/>
        </w:rPr>
      </w:pPr>
      <w:r w:rsidRPr="00B82B86">
        <w:rPr>
          <w:rFonts w:ascii="Arial" w:hAnsi="Arial" w:cs="Arial"/>
        </w:rPr>
        <w:t xml:space="preserve">The inhibition of bacterial growth is thought to be due to citric acid’s reduction of the pH of the wound. </w:t>
      </w:r>
      <w:r w:rsidR="00767C82" w:rsidRPr="00B82B86">
        <w:rPr>
          <w:rFonts w:ascii="Arial" w:hAnsi="Arial" w:cs="Arial"/>
          <w:noProof/>
          <w:vertAlign w:val="superscript"/>
        </w:rPr>
        <w:t>2, 14</w:t>
      </w:r>
      <w:r w:rsidR="00767C82" w:rsidRPr="00B82B86">
        <w:rPr>
          <w:rFonts w:ascii="Arial" w:hAnsi="Arial" w:cs="Arial"/>
        </w:rPr>
        <w:t xml:space="preserve"> </w:t>
      </w:r>
      <w:proofErr w:type="gramStart"/>
      <w:r w:rsidRPr="00B82B86">
        <w:rPr>
          <w:rFonts w:ascii="Arial" w:hAnsi="Arial" w:cs="Arial"/>
          <w:color w:val="222222"/>
          <w:shd w:val="clear" w:color="auto" w:fill="FFFFFF"/>
        </w:rPr>
        <w:t>The</w:t>
      </w:r>
      <w:proofErr w:type="gramEnd"/>
      <w:r w:rsidRPr="00B82B86">
        <w:rPr>
          <w:rFonts w:ascii="Arial" w:hAnsi="Arial" w:cs="Arial"/>
          <w:color w:val="222222"/>
          <w:shd w:val="clear" w:color="auto" w:fill="FFFFFF"/>
        </w:rPr>
        <w:t xml:space="preserve"> minimum inhibitory concentration (MIC) ranged from 500 to 2 500µg/ml (t</w:t>
      </w:r>
      <w:r w:rsidRPr="00B82B86">
        <w:rPr>
          <w:rFonts w:ascii="Arial" w:hAnsi="Arial" w:cs="Arial"/>
          <w:szCs w:val="24"/>
        </w:rPr>
        <w:t>he MIC being the lowest concentration to which citric acid can be diluted and still remain effective).</w:t>
      </w:r>
      <w:r w:rsidR="00767C82" w:rsidRPr="00B82B86">
        <w:rPr>
          <w:rFonts w:ascii="Arial" w:hAnsi="Arial" w:cs="Arial"/>
          <w:noProof/>
          <w:szCs w:val="24"/>
          <w:vertAlign w:val="superscript"/>
        </w:rPr>
        <w:t>7, 8</w:t>
      </w:r>
      <w:r w:rsidR="00767C82" w:rsidRPr="00B82B86">
        <w:rPr>
          <w:rFonts w:ascii="Arial" w:hAnsi="Arial" w:cs="Arial"/>
          <w:noProof/>
          <w:szCs w:val="24"/>
        </w:rPr>
        <w:t xml:space="preserve"> </w:t>
      </w:r>
      <w:r w:rsidR="0010472E">
        <w:rPr>
          <w:rFonts w:ascii="Arial" w:hAnsi="Arial" w:cs="Arial"/>
        </w:rPr>
        <w:t>(Level 5</w:t>
      </w:r>
      <w:r w:rsidRPr="00B82B86">
        <w:rPr>
          <w:rFonts w:ascii="Arial" w:hAnsi="Arial" w:cs="Arial"/>
        </w:rPr>
        <w:t xml:space="preserve"> evidence)</w:t>
      </w:r>
    </w:p>
    <w:p w:rsidR="00A72A24" w:rsidRPr="00B82B86" w:rsidRDefault="00A72A24" w:rsidP="00E224DD">
      <w:pPr>
        <w:rPr>
          <w:rFonts w:ascii="Arial" w:hAnsi="Arial" w:cs="Arial"/>
        </w:rPr>
      </w:pPr>
    </w:p>
    <w:p w:rsidR="00A72A24" w:rsidRPr="00B82B86" w:rsidRDefault="00A72A24" w:rsidP="00ED46B5">
      <w:pPr>
        <w:rPr>
          <w:rFonts w:ascii="Arial" w:hAnsi="Arial" w:cs="Arial"/>
          <w:vertAlign w:val="superscript"/>
        </w:rPr>
      </w:pPr>
      <w:r w:rsidRPr="00B82B86">
        <w:rPr>
          <w:rFonts w:ascii="Arial" w:hAnsi="Arial" w:cs="Arial"/>
        </w:rPr>
        <w:t xml:space="preserve">Promising results have been obtained in </w:t>
      </w:r>
      <w:r w:rsidRPr="00B82B86">
        <w:rPr>
          <w:rFonts w:ascii="Arial" w:hAnsi="Arial" w:cs="Arial"/>
          <w:i/>
        </w:rPr>
        <w:t>in-vivo</w:t>
      </w:r>
      <w:r w:rsidRPr="00B82B86">
        <w:rPr>
          <w:rFonts w:ascii="Arial" w:hAnsi="Arial" w:cs="Arial"/>
        </w:rPr>
        <w:t xml:space="preserve"> studies of a citric acid based, biodegradable hydrogel dressing material in terms of antimicrobial effects and compatibility with human fibroblasts.</w:t>
      </w:r>
      <w:r w:rsidRPr="00B82B86">
        <w:rPr>
          <w:rFonts w:ascii="Arial" w:hAnsi="Arial" w:cs="Arial"/>
          <w:noProof/>
          <w:vertAlign w:val="superscript"/>
        </w:rPr>
        <w:t>15</w:t>
      </w:r>
    </w:p>
    <w:p w:rsidR="00A72A24" w:rsidRPr="00B82B86" w:rsidRDefault="00A72A24" w:rsidP="00ED46B5">
      <w:pPr>
        <w:rPr>
          <w:rFonts w:ascii="Arial" w:hAnsi="Arial" w:cs="Arial"/>
          <w:i/>
        </w:rPr>
      </w:pPr>
    </w:p>
    <w:p w:rsidR="00AB6E2C" w:rsidRDefault="00AB6E2C" w:rsidP="00ED46B5">
      <w:pPr>
        <w:rPr>
          <w:rFonts w:ascii="Arial" w:hAnsi="Arial" w:cs="Arial"/>
          <w:i/>
        </w:rPr>
      </w:pPr>
    </w:p>
    <w:p w:rsidR="00AB6E2C" w:rsidRDefault="00AB6E2C" w:rsidP="00ED46B5">
      <w:pPr>
        <w:rPr>
          <w:rFonts w:ascii="Arial" w:hAnsi="Arial" w:cs="Arial"/>
          <w:i/>
        </w:rPr>
      </w:pPr>
    </w:p>
    <w:p w:rsidR="00AB6E2C" w:rsidRDefault="00AB6E2C" w:rsidP="00ED46B5">
      <w:pPr>
        <w:rPr>
          <w:rFonts w:ascii="Arial" w:hAnsi="Arial" w:cs="Arial"/>
          <w:i/>
        </w:rPr>
      </w:pPr>
    </w:p>
    <w:p w:rsidR="00A72A24" w:rsidRPr="0061285A" w:rsidRDefault="00A72A24" w:rsidP="00ED46B5">
      <w:pPr>
        <w:rPr>
          <w:rFonts w:ascii="Arial" w:hAnsi="Arial" w:cs="Arial"/>
          <w:i/>
          <w:u w:val="single"/>
        </w:rPr>
      </w:pPr>
      <w:r w:rsidRPr="0061285A">
        <w:rPr>
          <w:rFonts w:ascii="Arial" w:hAnsi="Arial" w:cs="Arial"/>
          <w:i/>
          <w:u w:val="single"/>
        </w:rPr>
        <w:lastRenderedPageBreak/>
        <w:t>Effectiveness in promoting healing</w:t>
      </w:r>
    </w:p>
    <w:p w:rsidR="00A72A24" w:rsidRPr="00B82B86" w:rsidRDefault="00A72A24" w:rsidP="001E3CDA">
      <w:pPr>
        <w:rPr>
          <w:rFonts w:ascii="Arial" w:hAnsi="Arial" w:cs="Arial"/>
          <w:color w:val="000000" w:themeColor="text1"/>
          <w:szCs w:val="24"/>
        </w:rPr>
      </w:pPr>
    </w:p>
    <w:p w:rsidR="00A72A24" w:rsidRPr="00B82B86" w:rsidRDefault="00A72A24" w:rsidP="001E3CDA">
      <w:pPr>
        <w:rPr>
          <w:rFonts w:ascii="Arial" w:hAnsi="Arial" w:cs="Arial"/>
          <w:color w:val="000000" w:themeColor="text1"/>
          <w:szCs w:val="24"/>
          <w:vertAlign w:val="superscript"/>
        </w:rPr>
      </w:pPr>
      <w:r w:rsidRPr="00B82B86">
        <w:rPr>
          <w:rFonts w:ascii="Arial" w:hAnsi="Arial" w:cs="Arial"/>
          <w:color w:val="000000" w:themeColor="text1"/>
          <w:szCs w:val="24"/>
        </w:rPr>
        <w:t>A small double blinded, randomised control trial (n= 50) compared the effectiveness of daily applications of 3% citric acid  and Eusol in healing lower limb, muscle deep ulcers resulting from trauma more than 10 days before presentation. (NB. Eusol should no longer be used for any wound management.) The mean time to development of healthy granulation tissue in the citric acid group was 10.56 days compared to 20.04 days in the group treated with Eusol (p=0.00). The biopsied tissues from the citric acid group showed a substantial concentration of fibroblasts and neovascularisation at day 7 while these were sparse in the Eusol group tissues. The group treated with citric acid dressings consequently had much shorter hospital stays for approximately half the cost when compared to the group treated with Eusol. Forty percent of the participants were diabetics divided almost equally between the two groups. When compared with the non-diabetic patients in their group, the mean length of hospital stay for the diabetics in the citric acid group was almost the same as the non-diabetics (16.38 days vs 15.78 days). In the Eusol group the mean length of stay for the diabetics was 31 days compared to 24.04 days for non-diabetics in this group.</w:t>
      </w:r>
      <w:r w:rsidRPr="00B82B86">
        <w:rPr>
          <w:rFonts w:ascii="Arial" w:hAnsi="Arial" w:cs="Arial"/>
          <w:noProof/>
          <w:color w:val="000000" w:themeColor="text1"/>
          <w:szCs w:val="24"/>
          <w:vertAlign w:val="superscript"/>
        </w:rPr>
        <w:t>14</w:t>
      </w:r>
    </w:p>
    <w:p w:rsidR="00A72A24" w:rsidRPr="00B82B86" w:rsidRDefault="00A72A24" w:rsidP="001E3CDA">
      <w:pPr>
        <w:rPr>
          <w:rFonts w:ascii="Arial" w:hAnsi="Arial" w:cs="Arial"/>
          <w:color w:val="000000" w:themeColor="text1"/>
          <w:szCs w:val="24"/>
        </w:rPr>
      </w:pPr>
    </w:p>
    <w:p w:rsidR="00A72A24" w:rsidRPr="00B82B86" w:rsidRDefault="00A72A24" w:rsidP="001E3CDA">
      <w:pPr>
        <w:rPr>
          <w:rFonts w:ascii="Arial" w:hAnsi="Arial" w:cs="Arial"/>
          <w:color w:val="000000" w:themeColor="text1"/>
          <w:szCs w:val="24"/>
        </w:rPr>
      </w:pPr>
      <w:r w:rsidRPr="00B82B86">
        <w:rPr>
          <w:rFonts w:ascii="Arial" w:hAnsi="Arial" w:cs="Arial"/>
          <w:color w:val="000000" w:themeColor="text1"/>
          <w:szCs w:val="24"/>
        </w:rPr>
        <w:t>A quasi-experimental study was undertaken with 66 participants with clinically infected burns that had not responded to conventional treatment. In the intervention group (n=46, 5-60% superficial to deep burns) daily application of 3% citric acid in paraffin was associated with complete healing in 40 ( 87%) cases in 7- 25 days, while healthy granulation tissue formed in the remaining six patients. There was no significant statistical difference (p=0.145) in overall healing compared with the control group (n=20, 10-70% superficial to deep burns) whose burns were treated with daily topical silver sulfadiazine and systemic antibiotics - 9 cases (45%). Participants in the antibiotics group had more severe burns in terms of depth and total body area coverage.</w:t>
      </w:r>
      <w:r w:rsidR="00CC0033" w:rsidRPr="00B82B86">
        <w:rPr>
          <w:rFonts w:ascii="Arial" w:hAnsi="Arial" w:cs="Arial"/>
          <w:noProof/>
          <w:color w:val="000000" w:themeColor="text1"/>
          <w:szCs w:val="24"/>
          <w:vertAlign w:val="superscript"/>
        </w:rPr>
        <w:t>1</w:t>
      </w:r>
      <w:r w:rsidR="0010472E">
        <w:rPr>
          <w:rFonts w:ascii="Arial" w:hAnsi="Arial" w:cs="Arial"/>
          <w:color w:val="000000" w:themeColor="text1"/>
          <w:szCs w:val="24"/>
        </w:rPr>
        <w:t xml:space="preserve"> (Level 2</w:t>
      </w:r>
      <w:r w:rsidRPr="00B82B86">
        <w:rPr>
          <w:rFonts w:ascii="Arial" w:hAnsi="Arial" w:cs="Arial"/>
          <w:color w:val="000000" w:themeColor="text1"/>
          <w:szCs w:val="24"/>
        </w:rPr>
        <w:t xml:space="preserve"> evidence)</w:t>
      </w:r>
    </w:p>
    <w:p w:rsidR="00A72A24" w:rsidRPr="00B82B86" w:rsidRDefault="00A72A24" w:rsidP="001E3CDA">
      <w:pPr>
        <w:rPr>
          <w:rFonts w:ascii="Arial" w:hAnsi="Arial" w:cs="Arial"/>
        </w:rPr>
      </w:pPr>
    </w:p>
    <w:p w:rsidR="00A72A24" w:rsidRPr="00B82B86" w:rsidRDefault="00A72A24" w:rsidP="001E3CDA">
      <w:pPr>
        <w:rPr>
          <w:rFonts w:ascii="Arial" w:hAnsi="Arial" w:cs="Arial"/>
        </w:rPr>
      </w:pPr>
      <w:r w:rsidRPr="00B82B86">
        <w:rPr>
          <w:rFonts w:ascii="Arial" w:hAnsi="Arial" w:cs="Arial"/>
        </w:rPr>
        <w:t>In a large prospective observational study (N= 259) of non-diabetic patients with traumatic wounds which had not responded to antibiotics and daily povidone iodine dressings, 244 (94%) wounds healed completely with debridement followed by 5-25 days of daily normal saline irrigation and application of 3% citric acid (the remaining six patients required skin grafting). A significant reduction in exudate and pain was observed after 2-3 applications of citric acid.</w:t>
      </w:r>
      <w:r w:rsidRPr="00B82B86">
        <w:rPr>
          <w:rFonts w:ascii="Arial" w:hAnsi="Arial" w:cs="Arial"/>
          <w:noProof/>
          <w:vertAlign w:val="superscript"/>
        </w:rPr>
        <w:t>4</w:t>
      </w:r>
      <w:r w:rsidR="00CC0033" w:rsidRPr="00B82B86">
        <w:rPr>
          <w:rFonts w:ascii="Arial" w:hAnsi="Arial" w:cs="Arial"/>
          <w:noProof/>
        </w:rPr>
        <w:t xml:space="preserve"> </w:t>
      </w:r>
      <w:r w:rsidRPr="00B82B86">
        <w:rPr>
          <w:rFonts w:ascii="Arial" w:hAnsi="Arial" w:cs="Arial"/>
        </w:rPr>
        <w:t>(Level 4</w:t>
      </w:r>
      <w:r w:rsidR="0010472E">
        <w:rPr>
          <w:rFonts w:ascii="Arial" w:hAnsi="Arial" w:cs="Arial"/>
        </w:rPr>
        <w:t xml:space="preserve"> evidence</w:t>
      </w:r>
      <w:r w:rsidRPr="00B82B86">
        <w:rPr>
          <w:rFonts w:ascii="Arial" w:hAnsi="Arial" w:cs="Arial"/>
        </w:rPr>
        <w:t xml:space="preserve">)  </w:t>
      </w:r>
    </w:p>
    <w:p w:rsidR="00A72A24" w:rsidRPr="00B82B86" w:rsidRDefault="00A72A24" w:rsidP="001E3CDA">
      <w:pPr>
        <w:rPr>
          <w:rFonts w:ascii="Arial" w:hAnsi="Arial" w:cs="Arial"/>
        </w:rPr>
      </w:pPr>
    </w:p>
    <w:p w:rsidR="00A72A24" w:rsidRPr="00B82B86" w:rsidRDefault="00A72A24" w:rsidP="001E3CDA">
      <w:pPr>
        <w:rPr>
          <w:rFonts w:ascii="Arial" w:hAnsi="Arial" w:cs="Arial"/>
        </w:rPr>
      </w:pPr>
      <w:r w:rsidRPr="00B82B86">
        <w:rPr>
          <w:rFonts w:ascii="Arial" w:hAnsi="Arial" w:cs="Arial"/>
        </w:rPr>
        <w:t xml:space="preserve">In another uncontrolled observational study (N=115) </w:t>
      </w:r>
      <w:r w:rsidRPr="00B82B86">
        <w:rPr>
          <w:rFonts w:ascii="Arial" w:hAnsi="Arial" w:cs="Arial"/>
          <w:color w:val="000000" w:themeColor="text1"/>
          <w:szCs w:val="24"/>
        </w:rPr>
        <w:t xml:space="preserve">of patients with </w:t>
      </w:r>
      <w:r w:rsidRPr="00B82B86">
        <w:rPr>
          <w:rFonts w:ascii="Arial" w:hAnsi="Arial" w:cs="Arial"/>
        </w:rPr>
        <w:t>clinically infected diabetic foot ulcers (</w:t>
      </w:r>
      <w:r w:rsidRPr="00B82B86">
        <w:rPr>
          <w:rFonts w:ascii="Arial" w:hAnsi="Arial" w:cs="Arial"/>
          <w:color w:val="000000" w:themeColor="text1"/>
          <w:szCs w:val="24"/>
        </w:rPr>
        <w:t>Wagner grades I-III) not responding to conventional treatment, 94% (n=32) of grade I ulcers t</w:t>
      </w:r>
      <w:r w:rsidRPr="00B82B86">
        <w:rPr>
          <w:rFonts w:ascii="Arial" w:hAnsi="Arial" w:cs="Arial"/>
        </w:rPr>
        <w:t xml:space="preserve">reated daily with 3% citric acid </w:t>
      </w:r>
      <w:r w:rsidRPr="00B82B86">
        <w:rPr>
          <w:rFonts w:ascii="Arial" w:hAnsi="Arial" w:cs="Arial"/>
          <w:color w:val="000000" w:themeColor="text1"/>
          <w:szCs w:val="24"/>
        </w:rPr>
        <w:t>in paraffin healed in 5 to 30 days</w:t>
      </w:r>
      <w:r w:rsidRPr="00B82B86">
        <w:rPr>
          <w:rFonts w:ascii="Arial" w:hAnsi="Arial" w:cs="Arial"/>
        </w:rPr>
        <w:t>.</w:t>
      </w:r>
      <w:r w:rsidRPr="00B82B86">
        <w:rPr>
          <w:rFonts w:ascii="Arial" w:hAnsi="Arial" w:cs="Arial"/>
          <w:color w:val="000000" w:themeColor="text1"/>
          <w:szCs w:val="24"/>
        </w:rPr>
        <w:t xml:space="preserve"> Ninety four percent (n=49) of Wagner grade II ulcers and 86% (n=25) of Wagner grade III healed in 16 to 34 days. The majority of ulcers that did not completely heal developed healthy granulation and skin grafts were performed </w:t>
      </w:r>
      <w:r w:rsidRPr="00B82B86">
        <w:rPr>
          <w:rFonts w:ascii="Arial" w:hAnsi="Arial" w:cs="Arial"/>
        </w:rPr>
        <w:t>(Level 4b evidence)</w:t>
      </w:r>
      <w:r w:rsidRPr="00B82B86">
        <w:rPr>
          <w:rFonts w:ascii="Arial" w:hAnsi="Arial" w:cs="Arial"/>
          <w:color w:val="000000" w:themeColor="text1"/>
          <w:szCs w:val="24"/>
        </w:rPr>
        <w:t>. (Note: patients with peripheral vascular disease</w:t>
      </w:r>
      <w:r w:rsidR="00AC30DB" w:rsidRPr="00B82B86">
        <w:rPr>
          <w:rFonts w:ascii="Arial" w:hAnsi="Arial" w:cs="Arial"/>
          <w:color w:val="000000" w:themeColor="text1"/>
          <w:szCs w:val="24"/>
        </w:rPr>
        <w:t xml:space="preserve"> were excluded from the study.)</w:t>
      </w:r>
      <w:r w:rsidR="00AC30DB" w:rsidRPr="00B82B86">
        <w:rPr>
          <w:rFonts w:ascii="Arial" w:hAnsi="Arial" w:cs="Arial"/>
          <w:noProof/>
          <w:color w:val="000000" w:themeColor="text1"/>
          <w:szCs w:val="24"/>
          <w:vertAlign w:val="superscript"/>
        </w:rPr>
        <w:t>2</w:t>
      </w:r>
      <w:r w:rsidR="00AC30DB" w:rsidRPr="00B82B86">
        <w:rPr>
          <w:rFonts w:ascii="Arial" w:hAnsi="Arial" w:cs="Arial"/>
          <w:noProof/>
          <w:color w:val="000000" w:themeColor="text1"/>
          <w:szCs w:val="24"/>
        </w:rPr>
        <w:t xml:space="preserve"> </w:t>
      </w:r>
      <w:r w:rsidRPr="00B82B86">
        <w:rPr>
          <w:rFonts w:ascii="Arial" w:hAnsi="Arial" w:cs="Arial"/>
          <w:color w:val="000000" w:themeColor="text1"/>
          <w:szCs w:val="24"/>
        </w:rPr>
        <w:t>(Level 4</w:t>
      </w:r>
      <w:r w:rsidR="0010472E">
        <w:rPr>
          <w:rFonts w:ascii="Arial" w:hAnsi="Arial" w:cs="Arial"/>
          <w:color w:val="000000" w:themeColor="text1"/>
          <w:szCs w:val="24"/>
        </w:rPr>
        <w:t xml:space="preserve"> evidence</w:t>
      </w:r>
      <w:r w:rsidRPr="00B82B86">
        <w:rPr>
          <w:rFonts w:ascii="Arial" w:hAnsi="Arial" w:cs="Arial"/>
          <w:color w:val="000000" w:themeColor="text1"/>
          <w:szCs w:val="24"/>
        </w:rPr>
        <w:t>)</w:t>
      </w:r>
    </w:p>
    <w:p w:rsidR="00A72A24" w:rsidRPr="00B82B86" w:rsidRDefault="00A72A24" w:rsidP="001E3CDA">
      <w:pPr>
        <w:rPr>
          <w:rFonts w:ascii="Arial" w:hAnsi="Arial" w:cs="Arial"/>
        </w:rPr>
      </w:pPr>
    </w:p>
    <w:p w:rsidR="00A72A24" w:rsidRPr="00B82B86" w:rsidRDefault="00A72A24" w:rsidP="001E3CDA">
      <w:pPr>
        <w:rPr>
          <w:rFonts w:ascii="Arial" w:hAnsi="Arial" w:cs="Arial"/>
        </w:rPr>
      </w:pPr>
      <w:r w:rsidRPr="00B82B86">
        <w:rPr>
          <w:rFonts w:ascii="Arial" w:hAnsi="Arial" w:cs="Arial"/>
        </w:rPr>
        <w:t xml:space="preserve">Similar results were obtained in a study of 70 patients with surgical site infections that were not responding to conventional treatment. Daily application of 3% citric acid ointment for 6-25 days resulted in complete healing or formation of healthy </w:t>
      </w:r>
      <w:r w:rsidRPr="00B82B86">
        <w:rPr>
          <w:rFonts w:ascii="Arial" w:hAnsi="Arial" w:cs="Arial"/>
        </w:rPr>
        <w:lastRenderedPageBreak/>
        <w:t>granulating tissue allowing final suturing of gaps in</w:t>
      </w:r>
      <w:r w:rsidR="00C27B7A" w:rsidRPr="00B82B86">
        <w:rPr>
          <w:rFonts w:ascii="Arial" w:hAnsi="Arial" w:cs="Arial"/>
        </w:rPr>
        <w:t xml:space="preserve"> the wound in all but one case.</w:t>
      </w:r>
      <w:r w:rsidR="00C27B7A" w:rsidRPr="00B82B86">
        <w:rPr>
          <w:rFonts w:ascii="Arial" w:hAnsi="Arial" w:cs="Arial"/>
          <w:noProof/>
          <w:vertAlign w:val="superscript"/>
        </w:rPr>
        <w:t>8</w:t>
      </w:r>
      <w:r w:rsidR="00C27B7A" w:rsidRPr="00B82B86">
        <w:rPr>
          <w:rFonts w:ascii="Arial" w:hAnsi="Arial" w:cs="Arial"/>
          <w:noProof/>
        </w:rPr>
        <w:t xml:space="preserve"> </w:t>
      </w:r>
      <w:r w:rsidRPr="00B82B86">
        <w:rPr>
          <w:rFonts w:ascii="Arial" w:hAnsi="Arial" w:cs="Arial"/>
        </w:rPr>
        <w:t xml:space="preserve">(Level 4) </w:t>
      </w:r>
    </w:p>
    <w:p w:rsidR="00A72A24" w:rsidRPr="00B82B86" w:rsidRDefault="00A72A24" w:rsidP="001E3CDA">
      <w:pPr>
        <w:rPr>
          <w:rFonts w:ascii="Arial" w:hAnsi="Arial" w:cs="Arial"/>
        </w:rPr>
      </w:pPr>
    </w:p>
    <w:p w:rsidR="00A72A24" w:rsidRPr="00B82B86" w:rsidRDefault="00A72A24" w:rsidP="001E3CDA">
      <w:pPr>
        <w:rPr>
          <w:rFonts w:ascii="Arial" w:hAnsi="Arial" w:cs="Arial"/>
        </w:rPr>
      </w:pPr>
      <w:r w:rsidRPr="00B82B86">
        <w:rPr>
          <w:rFonts w:ascii="Arial" w:hAnsi="Arial" w:cs="Arial"/>
        </w:rPr>
        <w:t>In a study of 34 patients with Hansen’s disease and ulcers that were not responding to antibiotic therapy, daily applications of 3% citric acid eliminated the pathogens and completely healed all the ulcers in 25 patients (74%). In the remaining nine patients healthy granulation tissue formed but complete healing did not occur, possibly due to underlying nerve and blood vessel damage from the disease.</w:t>
      </w:r>
      <w:r w:rsidRPr="00B82B86">
        <w:rPr>
          <w:rFonts w:ascii="Arial" w:hAnsi="Arial" w:cs="Arial"/>
          <w:noProof/>
          <w:vertAlign w:val="superscript"/>
        </w:rPr>
        <w:t>7</w:t>
      </w:r>
      <w:r w:rsidR="00C27B7A" w:rsidRPr="00B82B86">
        <w:rPr>
          <w:rFonts w:ascii="Arial" w:hAnsi="Arial" w:cs="Arial"/>
          <w:noProof/>
        </w:rPr>
        <w:t xml:space="preserve"> </w:t>
      </w:r>
      <w:r w:rsidRPr="00B82B86">
        <w:rPr>
          <w:rFonts w:ascii="Arial" w:hAnsi="Arial" w:cs="Arial"/>
        </w:rPr>
        <w:t>(Level 4</w:t>
      </w:r>
      <w:r w:rsidR="0010472E">
        <w:rPr>
          <w:rFonts w:ascii="Arial" w:hAnsi="Arial" w:cs="Arial"/>
        </w:rPr>
        <w:t xml:space="preserve"> evidence</w:t>
      </w:r>
      <w:r w:rsidRPr="00B82B86">
        <w:rPr>
          <w:rFonts w:ascii="Arial" w:hAnsi="Arial" w:cs="Arial"/>
        </w:rPr>
        <w:t xml:space="preserve">) </w:t>
      </w:r>
    </w:p>
    <w:p w:rsidR="00A72A24" w:rsidRPr="00B82B86" w:rsidRDefault="00A72A24" w:rsidP="001E3CDA">
      <w:pPr>
        <w:rPr>
          <w:rFonts w:ascii="Arial" w:hAnsi="Arial" w:cs="Arial"/>
        </w:rPr>
      </w:pPr>
    </w:p>
    <w:p w:rsidR="00A72A24" w:rsidRPr="00B82B86" w:rsidRDefault="00A72A24" w:rsidP="001E3CDA">
      <w:pPr>
        <w:rPr>
          <w:rFonts w:ascii="Arial" w:hAnsi="Arial" w:cs="Arial"/>
        </w:rPr>
      </w:pPr>
      <w:r w:rsidRPr="00B82B86">
        <w:rPr>
          <w:rFonts w:ascii="Arial" w:hAnsi="Arial" w:cs="Arial"/>
        </w:rPr>
        <w:t>Another small study trialled the use of citric acid to prepare the wound bed for grafting in five road trauma cases with large raw areas infected with multiple antibiotic-resistant bacteria. Healthy granulation tissue was generated in four patients (80%) but deep seated infection could not be eliminated in the fifth patient.</w:t>
      </w:r>
      <w:r w:rsidRPr="00B82B86">
        <w:rPr>
          <w:rFonts w:ascii="Arial" w:hAnsi="Arial" w:cs="Arial"/>
          <w:noProof/>
          <w:vertAlign w:val="superscript"/>
        </w:rPr>
        <w:t>13</w:t>
      </w:r>
      <w:r w:rsidR="00C27B7A" w:rsidRPr="00B82B86">
        <w:rPr>
          <w:rFonts w:ascii="Arial" w:hAnsi="Arial" w:cs="Arial"/>
          <w:noProof/>
        </w:rPr>
        <w:t xml:space="preserve"> </w:t>
      </w:r>
      <w:r w:rsidRPr="00B82B86">
        <w:rPr>
          <w:rFonts w:ascii="Arial" w:hAnsi="Arial" w:cs="Arial"/>
        </w:rPr>
        <w:t>(Level 4</w:t>
      </w:r>
      <w:r w:rsidR="0010472E">
        <w:rPr>
          <w:rFonts w:ascii="Arial" w:hAnsi="Arial" w:cs="Arial"/>
        </w:rPr>
        <w:t xml:space="preserve"> evidence</w:t>
      </w:r>
      <w:r w:rsidRPr="00B82B86">
        <w:rPr>
          <w:rFonts w:ascii="Arial" w:hAnsi="Arial" w:cs="Arial"/>
        </w:rPr>
        <w:t>)</w:t>
      </w:r>
    </w:p>
    <w:p w:rsidR="00A72A24" w:rsidRPr="00B82B86" w:rsidRDefault="00A72A24" w:rsidP="001E3CDA">
      <w:pPr>
        <w:rPr>
          <w:rFonts w:ascii="Arial" w:hAnsi="Arial" w:cs="Arial"/>
        </w:rPr>
      </w:pPr>
    </w:p>
    <w:p w:rsidR="00A72A24" w:rsidRPr="00B82B86" w:rsidRDefault="00A72A24" w:rsidP="001E3CDA">
      <w:pPr>
        <w:rPr>
          <w:rFonts w:ascii="Arial" w:hAnsi="Arial" w:cs="Arial"/>
        </w:rPr>
      </w:pPr>
      <w:r w:rsidRPr="00B82B86">
        <w:rPr>
          <w:rFonts w:ascii="Arial" w:hAnsi="Arial" w:cs="Arial"/>
        </w:rPr>
        <w:t>In another ten case studies, a variety of clinically infected chronic wounds treated with 3% citric acid achieved complete healing (n=8)</w:t>
      </w:r>
      <w:r w:rsidR="00C27B7A" w:rsidRPr="00B82B86">
        <w:rPr>
          <w:rFonts w:ascii="Arial" w:hAnsi="Arial" w:cs="Arial"/>
          <w:noProof/>
        </w:rPr>
        <w:t xml:space="preserve"> </w:t>
      </w:r>
      <w:r w:rsidRPr="00B82B86">
        <w:rPr>
          <w:rFonts w:ascii="Arial" w:hAnsi="Arial" w:cs="Arial"/>
          <w:noProof/>
          <w:vertAlign w:val="superscript"/>
        </w:rPr>
        <w:t>6,</w:t>
      </w:r>
      <w:r w:rsidR="00C27B7A" w:rsidRPr="00B82B86">
        <w:rPr>
          <w:rFonts w:ascii="Arial" w:hAnsi="Arial" w:cs="Arial"/>
          <w:noProof/>
          <w:vertAlign w:val="superscript"/>
        </w:rPr>
        <w:t xml:space="preserve"> 9,</w:t>
      </w:r>
      <w:r w:rsidRPr="00B82B86">
        <w:rPr>
          <w:rFonts w:ascii="Arial" w:hAnsi="Arial" w:cs="Arial"/>
          <w:noProof/>
          <w:vertAlign w:val="superscript"/>
        </w:rPr>
        <w:t xml:space="preserve"> 10</w:t>
      </w:r>
      <w:r w:rsidR="00C27B7A" w:rsidRPr="00B82B86">
        <w:rPr>
          <w:rFonts w:ascii="Arial" w:hAnsi="Arial" w:cs="Arial"/>
          <w:noProof/>
          <w:vertAlign w:val="superscript"/>
        </w:rPr>
        <w:t>, 16</w:t>
      </w:r>
      <w:r w:rsidRPr="00B82B86">
        <w:rPr>
          <w:rFonts w:ascii="Arial" w:hAnsi="Arial" w:cs="Arial"/>
          <w:noProof/>
          <w:vertAlign w:val="superscript"/>
        </w:rPr>
        <w:t>, 17</w:t>
      </w:r>
      <w:r w:rsidRPr="00B82B86">
        <w:rPr>
          <w:rFonts w:ascii="Arial" w:hAnsi="Arial" w:cs="Arial"/>
        </w:rPr>
        <w:t xml:space="preserve"> or sufficient granulation tissue to allow skin grafting (n=2)</w:t>
      </w:r>
      <w:r w:rsidR="00C27B7A" w:rsidRPr="00B82B86">
        <w:rPr>
          <w:rFonts w:ascii="Arial" w:hAnsi="Arial" w:cs="Arial"/>
        </w:rPr>
        <w:t>.</w:t>
      </w:r>
      <w:r w:rsidR="00C27B7A" w:rsidRPr="00B82B86">
        <w:rPr>
          <w:rFonts w:ascii="Arial" w:hAnsi="Arial" w:cs="Arial"/>
          <w:noProof/>
          <w:vertAlign w:val="superscript"/>
        </w:rPr>
        <w:t>5</w:t>
      </w:r>
      <w:r w:rsidR="00C27B7A" w:rsidRPr="00B82B86">
        <w:rPr>
          <w:rFonts w:ascii="Arial" w:hAnsi="Arial" w:cs="Arial"/>
        </w:rPr>
        <w:t xml:space="preserve"> </w:t>
      </w:r>
      <w:r w:rsidRPr="00B82B86">
        <w:rPr>
          <w:rFonts w:ascii="Arial" w:hAnsi="Arial" w:cs="Arial"/>
        </w:rPr>
        <w:t>The number of applications of citric acid ranged from 8-50, mainly on a daily basis but in some w</w:t>
      </w:r>
      <w:r w:rsidR="0010472E">
        <w:rPr>
          <w:rFonts w:ascii="Arial" w:hAnsi="Arial" w:cs="Arial"/>
        </w:rPr>
        <w:t>ere on alternate days (Level 4 evidence</w:t>
      </w:r>
      <w:r w:rsidRPr="00B82B86">
        <w:rPr>
          <w:rFonts w:ascii="Arial" w:hAnsi="Arial" w:cs="Arial"/>
        </w:rPr>
        <w:t>).</w:t>
      </w:r>
    </w:p>
    <w:p w:rsidR="00A72A24" w:rsidRPr="00B82B86" w:rsidRDefault="00A72A24" w:rsidP="004410A7">
      <w:pPr>
        <w:rPr>
          <w:rFonts w:ascii="Arial" w:hAnsi="Arial" w:cs="Arial"/>
          <w:i/>
        </w:rPr>
      </w:pPr>
    </w:p>
    <w:p w:rsidR="00A72A24" w:rsidRPr="0061285A" w:rsidRDefault="00A72A24" w:rsidP="004410A7">
      <w:pPr>
        <w:rPr>
          <w:rFonts w:ascii="Arial" w:hAnsi="Arial" w:cs="Arial"/>
          <w:i/>
          <w:u w:val="single"/>
        </w:rPr>
      </w:pPr>
      <w:r w:rsidRPr="0061285A">
        <w:rPr>
          <w:rFonts w:ascii="Arial" w:hAnsi="Arial" w:cs="Arial"/>
          <w:i/>
          <w:u w:val="single"/>
        </w:rPr>
        <w:t>Adverse effects</w:t>
      </w:r>
    </w:p>
    <w:p w:rsidR="00A72A24" w:rsidRPr="00B82B86" w:rsidRDefault="00A72A24" w:rsidP="001E3CDA">
      <w:pPr>
        <w:rPr>
          <w:rFonts w:ascii="Arial" w:hAnsi="Arial" w:cs="Arial"/>
        </w:rPr>
      </w:pPr>
      <w:r w:rsidRPr="00B82B86">
        <w:rPr>
          <w:rFonts w:ascii="Arial" w:hAnsi="Arial" w:cs="Arial"/>
        </w:rPr>
        <w:t xml:space="preserve">Application of citric acid to wounds can be associated with mild to moderate irritation for up to five minutes post application. </w:t>
      </w:r>
      <w:r w:rsidRPr="00B82B86">
        <w:rPr>
          <w:rFonts w:ascii="Arial" w:hAnsi="Arial" w:cs="Arial"/>
          <w:noProof/>
          <w:vertAlign w:val="superscript"/>
        </w:rPr>
        <w:t>3</w:t>
      </w:r>
      <w:r w:rsidR="00C27B7A" w:rsidRPr="00B82B86">
        <w:rPr>
          <w:rFonts w:ascii="Arial" w:hAnsi="Arial" w:cs="Arial"/>
          <w:noProof/>
          <w:vertAlign w:val="superscript"/>
        </w:rPr>
        <w:t xml:space="preserve">, 4, </w:t>
      </w:r>
      <w:r w:rsidRPr="00B82B86">
        <w:rPr>
          <w:rFonts w:ascii="Arial" w:hAnsi="Arial" w:cs="Arial"/>
          <w:noProof/>
          <w:vertAlign w:val="superscript"/>
        </w:rPr>
        <w:t>8</w:t>
      </w:r>
      <w:r w:rsidR="00C27B7A" w:rsidRPr="00B82B86">
        <w:rPr>
          <w:rFonts w:ascii="Arial" w:hAnsi="Arial" w:cs="Arial"/>
          <w:noProof/>
          <w:vertAlign w:val="superscript"/>
        </w:rPr>
        <w:t>,</w:t>
      </w:r>
      <w:r w:rsidRPr="00B82B86">
        <w:rPr>
          <w:rFonts w:ascii="Arial" w:hAnsi="Arial" w:cs="Arial"/>
          <w:noProof/>
          <w:vertAlign w:val="superscript"/>
        </w:rPr>
        <w:t>10</w:t>
      </w:r>
      <w:r w:rsidR="00C27B7A" w:rsidRPr="00B82B86">
        <w:rPr>
          <w:rFonts w:ascii="Arial" w:hAnsi="Arial" w:cs="Arial"/>
          <w:noProof/>
        </w:rPr>
        <w:t xml:space="preserve"> </w:t>
      </w:r>
      <w:r w:rsidRPr="00B82B86">
        <w:rPr>
          <w:rFonts w:ascii="Arial" w:hAnsi="Arial" w:cs="Arial"/>
        </w:rPr>
        <w:t xml:space="preserve">(Levels 4b, 4c &amp; 4d) </w:t>
      </w:r>
      <w:proofErr w:type="gramStart"/>
      <w:r w:rsidRPr="00B82B86">
        <w:rPr>
          <w:rFonts w:ascii="Arial" w:hAnsi="Arial" w:cs="Arial"/>
        </w:rPr>
        <w:t>In</w:t>
      </w:r>
      <w:proofErr w:type="gramEnd"/>
      <w:r w:rsidRPr="00B82B86">
        <w:rPr>
          <w:rFonts w:ascii="Arial" w:hAnsi="Arial" w:cs="Arial"/>
        </w:rPr>
        <w:t xml:space="preserve"> superficial burns the effect can be more severe in the first 2-3 minutes after application.</w:t>
      </w:r>
      <w:r w:rsidR="00C27B7A" w:rsidRPr="00B82B86">
        <w:rPr>
          <w:rFonts w:ascii="Arial" w:hAnsi="Arial" w:cs="Arial"/>
          <w:noProof/>
          <w:vertAlign w:val="superscript"/>
        </w:rPr>
        <w:t>1</w:t>
      </w:r>
      <w:r w:rsidR="0010472E">
        <w:rPr>
          <w:rFonts w:ascii="Arial" w:hAnsi="Arial" w:cs="Arial"/>
        </w:rPr>
        <w:t xml:space="preserve"> (Level 2 evidence</w:t>
      </w:r>
      <w:r w:rsidRPr="00B82B86">
        <w:rPr>
          <w:rFonts w:ascii="Arial" w:hAnsi="Arial" w:cs="Arial"/>
        </w:rPr>
        <w:t>)</w:t>
      </w:r>
    </w:p>
    <w:p w:rsidR="00B82B86" w:rsidRPr="00B82B86" w:rsidRDefault="00B82B86" w:rsidP="0060718A">
      <w:pPr>
        <w:autoSpaceDE w:val="0"/>
        <w:autoSpaceDN w:val="0"/>
        <w:adjustRightInd w:val="0"/>
        <w:rPr>
          <w:rFonts w:ascii="Arial" w:hAnsi="Arial" w:cs="Arial"/>
          <w:b/>
          <w:szCs w:val="24"/>
        </w:rPr>
      </w:pPr>
    </w:p>
    <w:p w:rsidR="00B82B86" w:rsidRDefault="00C4009D" w:rsidP="00C4009D">
      <w:pPr>
        <w:rPr>
          <w:rFonts w:ascii="Arial" w:hAnsi="Arial" w:cs="Arial"/>
          <w:b/>
          <w:szCs w:val="24"/>
        </w:rPr>
      </w:pPr>
      <w:r>
        <w:rPr>
          <w:rFonts w:ascii="Arial" w:hAnsi="Arial" w:cs="Arial"/>
          <w:b/>
          <w:szCs w:val="24"/>
        </w:rPr>
        <w:t>METHOD</w:t>
      </w:r>
      <w:r w:rsidR="00AC5DB9">
        <w:rPr>
          <w:rFonts w:ascii="Arial" w:hAnsi="Arial" w:cs="Arial"/>
          <w:b/>
          <w:szCs w:val="24"/>
        </w:rPr>
        <w:t>O</w:t>
      </w:r>
      <w:r>
        <w:rPr>
          <w:rFonts w:ascii="Arial" w:hAnsi="Arial" w:cs="Arial"/>
          <w:b/>
          <w:szCs w:val="24"/>
        </w:rPr>
        <w:t>LOGY</w:t>
      </w:r>
    </w:p>
    <w:p w:rsidR="00C4009D" w:rsidRPr="00B82B86" w:rsidRDefault="00A72A24" w:rsidP="00C4009D">
      <w:pPr>
        <w:rPr>
          <w:rFonts w:ascii="Arial" w:hAnsi="Arial" w:cs="Arial"/>
          <w:i/>
        </w:rPr>
      </w:pPr>
      <w:r w:rsidRPr="00B82B86">
        <w:rPr>
          <w:rFonts w:ascii="Arial" w:hAnsi="Arial" w:cs="Arial"/>
          <w:szCs w:val="24"/>
        </w:rPr>
        <w:t xml:space="preserve">This evidence summary is based on a structured search of the literature and selected evidence based healthcare databases (including WHO and WHO AFRO) using the terms citric acid and wounds. </w:t>
      </w:r>
      <w:r w:rsidR="00C4009D" w:rsidRPr="00B82B86">
        <w:rPr>
          <w:rFonts w:ascii="Arial" w:hAnsi="Arial" w:cs="Arial"/>
          <w:szCs w:val="24"/>
        </w:rPr>
        <w:t>The development of this evidence summary is based on the Joanna Briggs Institute methodology.</w:t>
      </w:r>
      <w:r w:rsidR="00C4009D" w:rsidRPr="00B82B86">
        <w:rPr>
          <w:rFonts w:ascii="Arial" w:hAnsi="Arial" w:cs="Arial"/>
          <w:noProof/>
          <w:szCs w:val="24"/>
          <w:vertAlign w:val="superscript"/>
        </w:rPr>
        <w:t>1</w:t>
      </w:r>
      <w:r w:rsidR="00AC504C">
        <w:rPr>
          <w:rFonts w:ascii="Arial" w:hAnsi="Arial" w:cs="Arial"/>
          <w:noProof/>
          <w:szCs w:val="24"/>
          <w:vertAlign w:val="superscript"/>
        </w:rPr>
        <w:t>8</w:t>
      </w:r>
    </w:p>
    <w:p w:rsidR="00A72A24" w:rsidRPr="00B82B86" w:rsidRDefault="00A72A24" w:rsidP="00144261">
      <w:pPr>
        <w:rPr>
          <w:rFonts w:ascii="Arial" w:hAnsi="Arial" w:cs="Arial"/>
          <w:b/>
        </w:rPr>
      </w:pPr>
    </w:p>
    <w:p w:rsidR="00A72A24" w:rsidRPr="00B82B86" w:rsidRDefault="00AB6E2C">
      <w:pPr>
        <w:rPr>
          <w:rFonts w:ascii="Arial" w:hAnsi="Arial" w:cs="Arial"/>
          <w:b/>
        </w:rPr>
      </w:pPr>
      <w:r w:rsidRPr="00B82B86">
        <w:rPr>
          <w:rFonts w:ascii="Arial" w:hAnsi="Arial" w:cs="Arial"/>
          <w:b/>
        </w:rPr>
        <w:t>REFERENCES</w:t>
      </w:r>
      <w:r w:rsidR="00A72A24" w:rsidRPr="00B82B86">
        <w:rPr>
          <w:rFonts w:ascii="Arial" w:hAnsi="Arial" w:cs="Arial"/>
          <w:b/>
        </w:rPr>
        <w:t xml:space="preserve"> </w:t>
      </w:r>
    </w:p>
    <w:p w:rsidR="00A72A24" w:rsidRPr="00B82B86" w:rsidRDefault="00A72A24" w:rsidP="00387181">
      <w:pPr>
        <w:pStyle w:val="EndNoteBibliography"/>
        <w:rPr>
          <w:rFonts w:ascii="Arial" w:hAnsi="Arial" w:cs="Arial"/>
        </w:rPr>
      </w:pPr>
      <w:r w:rsidRPr="00B82B86">
        <w:rPr>
          <w:rFonts w:ascii="Arial" w:hAnsi="Arial" w:cs="Arial"/>
        </w:rPr>
        <w:t>1.</w:t>
      </w:r>
      <w:r w:rsidRPr="00B82B86">
        <w:rPr>
          <w:rFonts w:ascii="Arial" w:hAnsi="Arial" w:cs="Arial"/>
        </w:rPr>
        <w:tab/>
        <w:t>Nagoba B, Gandhi R, Hartalkar A, Wadher B, Selkar S. Simple, effective and affordable approach for the treatment of burns infections. Burns. 2010;36:1242-7.</w:t>
      </w:r>
    </w:p>
    <w:p w:rsidR="00A72A24" w:rsidRPr="00B82B86" w:rsidRDefault="00A72A24" w:rsidP="00387181">
      <w:pPr>
        <w:pStyle w:val="EndNoteBibliography"/>
        <w:rPr>
          <w:rFonts w:ascii="Arial" w:hAnsi="Arial" w:cs="Arial"/>
        </w:rPr>
      </w:pPr>
      <w:r w:rsidRPr="00B82B86">
        <w:rPr>
          <w:rFonts w:ascii="Arial" w:hAnsi="Arial" w:cs="Arial"/>
        </w:rPr>
        <w:t>2.</w:t>
      </w:r>
      <w:r w:rsidRPr="00B82B86">
        <w:rPr>
          <w:rFonts w:ascii="Arial" w:hAnsi="Arial" w:cs="Arial"/>
        </w:rPr>
        <w:tab/>
        <w:t>Nagoba B, Gandhi R, Wadher B, Rao A, Hartalkar A, Selkar S. A simple and effective approach for the treatment of diabetic foot ulcers with different Wagner grades. Int Wound J. 2010;7(3):153-8.</w:t>
      </w:r>
    </w:p>
    <w:p w:rsidR="00A72A24" w:rsidRPr="00B82B86" w:rsidRDefault="00A72A24" w:rsidP="00387181">
      <w:pPr>
        <w:pStyle w:val="EndNoteBibliography"/>
        <w:rPr>
          <w:rFonts w:ascii="Arial" w:hAnsi="Arial" w:cs="Arial"/>
        </w:rPr>
      </w:pPr>
      <w:r w:rsidRPr="00B82B86">
        <w:rPr>
          <w:rFonts w:ascii="Arial" w:hAnsi="Arial" w:cs="Arial"/>
        </w:rPr>
        <w:t>3.</w:t>
      </w:r>
      <w:r w:rsidRPr="00B82B86">
        <w:rPr>
          <w:rFonts w:ascii="Arial" w:hAnsi="Arial" w:cs="Arial"/>
        </w:rPr>
        <w:tab/>
        <w:t xml:space="preserve">Nagoba B, Wadher B, Rao A, Kore G, Gomashe A, Ingle A. A simple and effective approach for the treatment of chronic wound infections caused by multiple antibiotic resistant </w:t>
      </w:r>
      <w:r w:rsidRPr="00B82B86">
        <w:rPr>
          <w:rFonts w:ascii="Arial" w:hAnsi="Arial" w:cs="Arial"/>
          <w:i/>
        </w:rPr>
        <w:t>Escherichia coli</w:t>
      </w:r>
      <w:r w:rsidRPr="00B82B86">
        <w:rPr>
          <w:rFonts w:ascii="Arial" w:hAnsi="Arial" w:cs="Arial"/>
        </w:rPr>
        <w:t>. J Hosp Infect. 2008;69:177-80.</w:t>
      </w:r>
    </w:p>
    <w:p w:rsidR="00A72A24" w:rsidRPr="00B82B86" w:rsidRDefault="00A72A24" w:rsidP="00387181">
      <w:pPr>
        <w:pStyle w:val="EndNoteBibliography"/>
        <w:rPr>
          <w:rFonts w:ascii="Arial" w:hAnsi="Arial" w:cs="Arial"/>
        </w:rPr>
      </w:pPr>
      <w:r w:rsidRPr="00B82B86">
        <w:rPr>
          <w:rFonts w:ascii="Arial" w:hAnsi="Arial" w:cs="Arial"/>
        </w:rPr>
        <w:t>4.</w:t>
      </w:r>
      <w:r w:rsidRPr="00B82B86">
        <w:rPr>
          <w:rFonts w:ascii="Arial" w:hAnsi="Arial" w:cs="Arial"/>
        </w:rPr>
        <w:tab/>
        <w:t>Nagoba B, Gandhi R, Wadher B, Rao A, Selkar S. Simple  and effective approach for the treatment of traumatic wounds in non-diabetic patients: a prospective open study. Int Wound J. 2013;10:585-9.</w:t>
      </w:r>
    </w:p>
    <w:p w:rsidR="00A72A24" w:rsidRPr="00B82B86" w:rsidRDefault="00A72A24" w:rsidP="00387181">
      <w:pPr>
        <w:pStyle w:val="EndNoteBibliography"/>
        <w:rPr>
          <w:rFonts w:ascii="Arial" w:hAnsi="Arial" w:cs="Arial"/>
        </w:rPr>
      </w:pPr>
      <w:r w:rsidRPr="00B82B86">
        <w:rPr>
          <w:rFonts w:ascii="Arial" w:hAnsi="Arial" w:cs="Arial"/>
        </w:rPr>
        <w:t>5.</w:t>
      </w:r>
      <w:r w:rsidRPr="00B82B86">
        <w:rPr>
          <w:rFonts w:ascii="Arial" w:hAnsi="Arial" w:cs="Arial"/>
        </w:rPr>
        <w:tab/>
        <w:t>Nagoba B, Gandhi R, Wadher B, Gandhi S, Selkar S. Citric acid treatment of necrotizing fasciitis: a report of two cases. Int Wound J. 2010;7(6):536--8.</w:t>
      </w:r>
    </w:p>
    <w:p w:rsidR="00A72A24" w:rsidRPr="00B82B86" w:rsidRDefault="00A72A24" w:rsidP="00387181">
      <w:pPr>
        <w:pStyle w:val="EndNoteBibliography"/>
        <w:rPr>
          <w:rFonts w:ascii="Arial" w:hAnsi="Arial" w:cs="Arial"/>
        </w:rPr>
      </w:pPr>
      <w:r w:rsidRPr="00B82B86">
        <w:rPr>
          <w:rFonts w:ascii="Arial" w:hAnsi="Arial" w:cs="Arial"/>
        </w:rPr>
        <w:t>6.</w:t>
      </w:r>
      <w:r w:rsidRPr="00B82B86">
        <w:rPr>
          <w:rFonts w:ascii="Arial" w:hAnsi="Arial" w:cs="Arial"/>
        </w:rPr>
        <w:tab/>
        <w:t>Nagoba B, Gandhi R, Suryawanshi N, Wadher B, Selkar S. Citric acid treatment of chronic non-healing ulcers in surgically excised cases of lateral malleolus bursitis. Wound Prac Res. 2014;22(3):136-8.</w:t>
      </w:r>
    </w:p>
    <w:p w:rsidR="00A72A24" w:rsidRPr="00B82B86" w:rsidRDefault="00A72A24" w:rsidP="00387181">
      <w:pPr>
        <w:pStyle w:val="EndNoteBibliography"/>
        <w:rPr>
          <w:rFonts w:ascii="Arial" w:hAnsi="Arial" w:cs="Arial"/>
        </w:rPr>
      </w:pPr>
      <w:r w:rsidRPr="00B82B86">
        <w:rPr>
          <w:rFonts w:ascii="Arial" w:hAnsi="Arial" w:cs="Arial"/>
        </w:rPr>
        <w:t>7.</w:t>
      </w:r>
      <w:r w:rsidRPr="00B82B86">
        <w:rPr>
          <w:rFonts w:ascii="Arial" w:hAnsi="Arial" w:cs="Arial"/>
        </w:rPr>
        <w:tab/>
        <w:t>Nagoba B, Wadher B, Rao A, Selkar S, Gandhi R. Treatment of lepromatous ulcers using citric acid as a sole antimicrobial agent. Int Wound J. 2012;9:553-6.</w:t>
      </w:r>
    </w:p>
    <w:p w:rsidR="00A72A24" w:rsidRPr="00B82B86" w:rsidRDefault="00A72A24" w:rsidP="00387181">
      <w:pPr>
        <w:pStyle w:val="EndNoteBibliography"/>
        <w:rPr>
          <w:rFonts w:ascii="Arial" w:hAnsi="Arial" w:cs="Arial"/>
        </w:rPr>
      </w:pPr>
      <w:r w:rsidRPr="00B82B86">
        <w:rPr>
          <w:rFonts w:ascii="Arial" w:hAnsi="Arial" w:cs="Arial"/>
        </w:rPr>
        <w:t>8.</w:t>
      </w:r>
      <w:r w:rsidRPr="00B82B86">
        <w:rPr>
          <w:rFonts w:ascii="Arial" w:hAnsi="Arial" w:cs="Arial"/>
        </w:rPr>
        <w:tab/>
        <w:t>Nagoba B, Wadher B, Gandhi R, Rao A, Selkar S, Hartalkar A. Citric acid treatment of surgical site infections: a prospective open study. Wound Prac Res. 2011;19(2):82-6.</w:t>
      </w:r>
    </w:p>
    <w:p w:rsidR="00A72A24" w:rsidRPr="00B82B86" w:rsidRDefault="00A72A24" w:rsidP="00387181">
      <w:pPr>
        <w:pStyle w:val="EndNoteBibliography"/>
        <w:rPr>
          <w:rFonts w:ascii="Arial" w:hAnsi="Arial" w:cs="Arial"/>
        </w:rPr>
      </w:pPr>
      <w:r w:rsidRPr="00B82B86">
        <w:rPr>
          <w:rFonts w:ascii="Arial" w:hAnsi="Arial" w:cs="Arial"/>
        </w:rPr>
        <w:t>9.</w:t>
      </w:r>
      <w:r w:rsidRPr="00B82B86">
        <w:rPr>
          <w:rFonts w:ascii="Arial" w:hAnsi="Arial" w:cs="Arial"/>
        </w:rPr>
        <w:tab/>
        <w:t>Nagoba B, Punpale A, Ayachit R, Gandhi R, Wadher B. Citric acid treatment of postoperative wound in an operated case of synovial sarcoma of the knee. Int Wound J. 2011;8(4):425-7.</w:t>
      </w:r>
    </w:p>
    <w:p w:rsidR="00A72A24" w:rsidRPr="00B82B86" w:rsidRDefault="00A72A24" w:rsidP="00387181">
      <w:pPr>
        <w:pStyle w:val="EndNoteBibliography"/>
        <w:rPr>
          <w:rFonts w:ascii="Arial" w:hAnsi="Arial" w:cs="Arial"/>
        </w:rPr>
      </w:pPr>
      <w:r w:rsidRPr="00B82B86">
        <w:rPr>
          <w:rFonts w:ascii="Arial" w:hAnsi="Arial" w:cs="Arial"/>
        </w:rPr>
        <w:t>10.</w:t>
      </w:r>
      <w:r w:rsidRPr="00B82B86">
        <w:rPr>
          <w:rFonts w:ascii="Arial" w:hAnsi="Arial" w:cs="Arial"/>
        </w:rPr>
        <w:tab/>
        <w:t>Nagoba B, Dawale C, Raju R, Wadher B, Chidrawar S, Selkar S, et al. Citric acid treatment of post operative wound infections in HIV/AIDS patients. J Tissue Viability. 2014;23:24-8.</w:t>
      </w:r>
    </w:p>
    <w:p w:rsidR="00A72A24" w:rsidRPr="00B82B86" w:rsidRDefault="00A72A24" w:rsidP="00387181">
      <w:pPr>
        <w:pStyle w:val="EndNoteBibliography"/>
        <w:rPr>
          <w:rFonts w:ascii="Arial" w:hAnsi="Arial" w:cs="Arial"/>
        </w:rPr>
      </w:pPr>
      <w:r w:rsidRPr="00B82B86">
        <w:rPr>
          <w:rFonts w:ascii="Arial" w:hAnsi="Arial" w:cs="Arial"/>
        </w:rPr>
        <w:t>11.</w:t>
      </w:r>
      <w:r w:rsidRPr="00B82B86">
        <w:rPr>
          <w:rFonts w:ascii="Arial" w:hAnsi="Arial" w:cs="Arial"/>
        </w:rPr>
        <w:tab/>
        <w:t xml:space="preserve">Yabanoglu H, Basaran O, Aydogan C, Azap O, Karakayali F, Moray G. Assessment of the effectiveness of silver-coated dressing, chlorhexidine acetate (0.05%), citric acid (3%), and silver sulfadiazine (1%) for tropical antibacterial effects against the multi-drug resistant </w:t>
      </w:r>
      <w:r w:rsidRPr="00B82B86">
        <w:rPr>
          <w:rFonts w:ascii="Arial" w:hAnsi="Arial" w:cs="Arial"/>
          <w:i/>
        </w:rPr>
        <w:t xml:space="preserve">Pseudomonas aeruginosa </w:t>
      </w:r>
      <w:r w:rsidRPr="00B82B86">
        <w:rPr>
          <w:rFonts w:ascii="Arial" w:hAnsi="Arial" w:cs="Arial"/>
        </w:rPr>
        <w:t>infecting full-skin thickness burn wounds on rats. Int Surg. 2013;98:416-23.</w:t>
      </w:r>
    </w:p>
    <w:p w:rsidR="00A72A24" w:rsidRPr="00B82B86" w:rsidRDefault="00A72A24" w:rsidP="00387181">
      <w:pPr>
        <w:pStyle w:val="EndNoteBibliography"/>
        <w:rPr>
          <w:rFonts w:ascii="Arial" w:hAnsi="Arial" w:cs="Arial"/>
        </w:rPr>
      </w:pPr>
      <w:r w:rsidRPr="00B82B86">
        <w:rPr>
          <w:rFonts w:ascii="Arial" w:hAnsi="Arial" w:cs="Arial"/>
        </w:rPr>
        <w:t>12.</w:t>
      </w:r>
      <w:r w:rsidRPr="00B82B86">
        <w:rPr>
          <w:rFonts w:ascii="Arial" w:hAnsi="Arial" w:cs="Arial"/>
        </w:rPr>
        <w:tab/>
        <w:t>Nagoba B, Gandhi R, Wadher B, Potekar R, Kohle S. Microbiological, histopathological and clinical changes in chronic infected wounds after citric acid treatment. J Med Microbiol 2008;57(5):682-5.</w:t>
      </w:r>
    </w:p>
    <w:p w:rsidR="00A72A24" w:rsidRPr="00B82B86" w:rsidRDefault="00A72A24" w:rsidP="00387181">
      <w:pPr>
        <w:pStyle w:val="EndNoteBibliography"/>
        <w:rPr>
          <w:rFonts w:ascii="Arial" w:hAnsi="Arial" w:cs="Arial"/>
        </w:rPr>
      </w:pPr>
      <w:r w:rsidRPr="00B82B86">
        <w:rPr>
          <w:rFonts w:ascii="Arial" w:hAnsi="Arial" w:cs="Arial"/>
        </w:rPr>
        <w:t>13.</w:t>
      </w:r>
      <w:r w:rsidRPr="00B82B86">
        <w:rPr>
          <w:rFonts w:ascii="Arial" w:hAnsi="Arial" w:cs="Arial"/>
        </w:rPr>
        <w:tab/>
        <w:t>Malu R, Nagoba B, Jaju C, Suryawanshi N, Maii S, Goyal V, et al. Topical use of citric acid for wound bed preparation. Int Wound J. 2014:1-4.</w:t>
      </w:r>
    </w:p>
    <w:p w:rsidR="00A72A24" w:rsidRPr="00B82B86" w:rsidRDefault="00A72A24" w:rsidP="00387181">
      <w:pPr>
        <w:pStyle w:val="EndNoteBibliography"/>
        <w:rPr>
          <w:rFonts w:ascii="Arial" w:hAnsi="Arial" w:cs="Arial"/>
        </w:rPr>
      </w:pPr>
      <w:r w:rsidRPr="00B82B86">
        <w:rPr>
          <w:rFonts w:ascii="Arial" w:hAnsi="Arial" w:cs="Arial"/>
        </w:rPr>
        <w:t>14.</w:t>
      </w:r>
      <w:r w:rsidRPr="00B82B86">
        <w:rPr>
          <w:rFonts w:ascii="Arial" w:hAnsi="Arial" w:cs="Arial"/>
        </w:rPr>
        <w:tab/>
        <w:t>Prabhu V, Prasadi S, Pawar V, Shivani A, Gore A. Does wound pH modulation with 3% citric acid solution dressing help in wound healing: a pilot study. Saudi Surg J. 2014;2(2):38-46.</w:t>
      </w:r>
    </w:p>
    <w:p w:rsidR="00A72A24" w:rsidRPr="00B82B86" w:rsidRDefault="00A72A24" w:rsidP="00387181">
      <w:pPr>
        <w:pStyle w:val="EndNoteBibliography"/>
        <w:rPr>
          <w:rFonts w:ascii="Arial" w:hAnsi="Arial" w:cs="Arial"/>
        </w:rPr>
      </w:pPr>
      <w:r w:rsidRPr="00B82B86">
        <w:rPr>
          <w:rFonts w:ascii="Arial" w:hAnsi="Arial" w:cs="Arial"/>
        </w:rPr>
        <w:t>15.</w:t>
      </w:r>
      <w:r w:rsidRPr="00B82B86">
        <w:rPr>
          <w:rFonts w:ascii="Arial" w:hAnsi="Arial" w:cs="Arial"/>
        </w:rPr>
        <w:tab/>
        <w:t>Xie Z, Aphale N, Kadapure T, Wadajkar A, Orr S, Gyawali D, et al. Design of antimicrobial peptides conjugated biodegradable citric acid derived hydrogels for wound healing. J Biomed Mater Res. 2015;103A(12):3907-18.</w:t>
      </w:r>
    </w:p>
    <w:p w:rsidR="00A72A24" w:rsidRPr="00B82B86" w:rsidRDefault="00A72A24" w:rsidP="00387181">
      <w:pPr>
        <w:pStyle w:val="EndNoteBibliography"/>
        <w:rPr>
          <w:rFonts w:ascii="Arial" w:hAnsi="Arial" w:cs="Arial"/>
        </w:rPr>
      </w:pPr>
      <w:r w:rsidRPr="00B82B86">
        <w:rPr>
          <w:rFonts w:ascii="Arial" w:hAnsi="Arial" w:cs="Arial"/>
        </w:rPr>
        <w:t>16.</w:t>
      </w:r>
      <w:r w:rsidRPr="00B82B86">
        <w:rPr>
          <w:rFonts w:ascii="Arial" w:hAnsi="Arial" w:cs="Arial"/>
        </w:rPr>
        <w:tab/>
        <w:t>Nagoba B, Punpale A, Podder A, Namdev M, Suryawanshi N, Swami G, et al. Citric acid treatment of chronic nonhealing ulcerated tophaceous gout with bursitis. Int J Lower Extremity Wounds. 2013;12(4):276-8.</w:t>
      </w:r>
    </w:p>
    <w:p w:rsidR="00A72A24" w:rsidRDefault="00A72A24" w:rsidP="00387181">
      <w:pPr>
        <w:pStyle w:val="EndNoteBibliography"/>
        <w:rPr>
          <w:rFonts w:ascii="Arial" w:hAnsi="Arial" w:cs="Arial"/>
        </w:rPr>
      </w:pPr>
      <w:r w:rsidRPr="00B82B86">
        <w:rPr>
          <w:rFonts w:ascii="Arial" w:hAnsi="Arial" w:cs="Arial"/>
        </w:rPr>
        <w:t>17.</w:t>
      </w:r>
      <w:r w:rsidRPr="00B82B86">
        <w:rPr>
          <w:rFonts w:ascii="Arial" w:hAnsi="Arial" w:cs="Arial"/>
        </w:rPr>
        <w:tab/>
        <w:t>Hartalkar A, Nagoba B, Wadher B. Citric acid treatment of large non-healing ulcer in a patient with chronic liver disease. Eur J Gen Med. 2012;9(3):205-7.</w:t>
      </w:r>
    </w:p>
    <w:p w:rsidR="00540E56" w:rsidRPr="00B82B86" w:rsidRDefault="00AC504C" w:rsidP="00387181">
      <w:pPr>
        <w:pStyle w:val="EndNoteBibliography"/>
        <w:rPr>
          <w:rFonts w:ascii="Arial" w:hAnsi="Arial" w:cs="Arial"/>
        </w:rPr>
      </w:pPr>
      <w:r>
        <w:rPr>
          <w:rFonts w:ascii="Arial" w:hAnsi="Arial" w:cs="Arial"/>
        </w:rPr>
        <w:t xml:space="preserve">18.      </w:t>
      </w:r>
      <w:r w:rsidR="00540E56">
        <w:rPr>
          <w:rFonts w:ascii="Arial" w:hAnsi="Arial" w:cs="Arial"/>
        </w:rPr>
        <w:t>The Joanna Briggs Collabortion. Handbook for Evidence Transfer Centers – Version 4. The Joanna Briggs Institute, Adelaide. 2013.</w:t>
      </w:r>
    </w:p>
    <w:p w:rsidR="00A72A24" w:rsidRPr="00B82B86" w:rsidRDefault="00A72A24">
      <w:pPr>
        <w:rPr>
          <w:rFonts w:ascii="Arial" w:hAnsi="Arial" w:cs="Arial"/>
          <w:b/>
        </w:rPr>
      </w:pPr>
    </w:p>
    <w:p w:rsidR="00E67DA6" w:rsidRDefault="00E67DA6" w:rsidP="00E67DA6">
      <w:r w:rsidRPr="00E575E5">
        <w:t>Published with permission from Wound Practice and Research</w:t>
      </w:r>
    </w:p>
    <w:p w:rsidR="008D1743" w:rsidRDefault="008D1743">
      <w:pPr>
        <w:rPr>
          <w:rFonts w:ascii="Arial" w:hAnsi="Arial" w:cs="Arial"/>
        </w:rPr>
      </w:pPr>
    </w:p>
    <w:p w:rsidR="008D1743" w:rsidRDefault="008D1743">
      <w:pPr>
        <w:rPr>
          <w:rFonts w:ascii="Arial" w:hAnsi="Arial" w:cs="Arial"/>
        </w:rPr>
      </w:pPr>
    </w:p>
    <w:p w:rsidR="008D1743" w:rsidRDefault="008D1743" w:rsidP="00B82B86">
      <w:pPr>
        <w:jc w:val="center"/>
        <w:rPr>
          <w:rFonts w:ascii="Arial" w:hAnsi="Arial" w:cs="Arial"/>
        </w:rPr>
      </w:pPr>
      <w:r w:rsidRPr="008D1743">
        <w:rPr>
          <w:b/>
          <w:noProof/>
          <w:spacing w:val="-5"/>
          <w:sz w:val="28"/>
          <w:szCs w:val="28"/>
          <w:lang w:eastAsia="en-AU"/>
        </w:rPr>
        <w:drawing>
          <wp:inline distT="0" distB="0" distL="0" distR="0">
            <wp:extent cx="2190750" cy="1257300"/>
            <wp:effectExtent l="0" t="0" r="0" b="0"/>
            <wp:docPr id="1" name="Picture 1" descr="JBC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C Logo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rsidR="008D1743" w:rsidRDefault="008D1743" w:rsidP="00B82B86">
      <w:pPr>
        <w:jc w:val="center"/>
        <w:rPr>
          <w:rFonts w:ascii="Arial" w:hAnsi="Arial" w:cs="Arial"/>
        </w:rPr>
      </w:pPr>
    </w:p>
    <w:p w:rsidR="004F1B42" w:rsidRDefault="008D1743" w:rsidP="00B82B86">
      <w:pPr>
        <w:jc w:val="center"/>
        <w:rPr>
          <w:rFonts w:ascii="Arial" w:hAnsi="Arial" w:cs="Arial"/>
          <w:b/>
        </w:rPr>
      </w:pPr>
      <w:r w:rsidRPr="00B82B86">
        <w:rPr>
          <w:rFonts w:ascii="Arial" w:hAnsi="Arial" w:cs="Arial"/>
          <w:b/>
        </w:rPr>
        <w:t>We</w:t>
      </w:r>
      <w:r>
        <w:rPr>
          <w:rFonts w:ascii="Arial" w:hAnsi="Arial" w:cs="Arial"/>
          <w:b/>
        </w:rPr>
        <w:t xml:space="preserve">stern </w:t>
      </w:r>
      <w:r w:rsidRPr="00B82B86">
        <w:rPr>
          <w:rFonts w:ascii="Arial" w:hAnsi="Arial" w:cs="Arial"/>
          <w:b/>
        </w:rPr>
        <w:t>Austr</w:t>
      </w:r>
      <w:r>
        <w:rPr>
          <w:rFonts w:ascii="Arial" w:hAnsi="Arial" w:cs="Arial"/>
          <w:b/>
        </w:rPr>
        <w:t>a</w:t>
      </w:r>
      <w:r w:rsidRPr="00B82B86">
        <w:rPr>
          <w:rFonts w:ascii="Arial" w:hAnsi="Arial" w:cs="Arial"/>
          <w:b/>
        </w:rPr>
        <w:t>lian Group for Evid</w:t>
      </w:r>
      <w:r>
        <w:rPr>
          <w:rFonts w:ascii="Arial" w:hAnsi="Arial" w:cs="Arial"/>
          <w:b/>
        </w:rPr>
        <w:t>ence</w:t>
      </w:r>
      <w:r w:rsidRPr="00B82B86">
        <w:rPr>
          <w:rFonts w:ascii="Arial" w:hAnsi="Arial" w:cs="Arial"/>
          <w:b/>
        </w:rPr>
        <w:t xml:space="preserve"> Informed He</w:t>
      </w:r>
      <w:r>
        <w:rPr>
          <w:rFonts w:ascii="Arial" w:hAnsi="Arial" w:cs="Arial"/>
          <w:b/>
        </w:rPr>
        <w:t>althcare Practice</w:t>
      </w:r>
    </w:p>
    <w:p w:rsidR="008D1743" w:rsidRDefault="008D1743" w:rsidP="00B82B86">
      <w:pPr>
        <w:jc w:val="center"/>
        <w:rPr>
          <w:rFonts w:ascii="Arial" w:hAnsi="Arial" w:cs="Arial"/>
          <w:b/>
        </w:rPr>
      </w:pPr>
      <w:r w:rsidRPr="00B82B86">
        <w:rPr>
          <w:rFonts w:ascii="Arial" w:hAnsi="Arial" w:cs="Arial"/>
          <w:b/>
        </w:rPr>
        <w:t>A Joann</w:t>
      </w:r>
      <w:r>
        <w:rPr>
          <w:rFonts w:ascii="Arial" w:hAnsi="Arial" w:cs="Arial"/>
          <w:b/>
        </w:rPr>
        <w:t>a</w:t>
      </w:r>
      <w:r w:rsidRPr="00B82B86">
        <w:rPr>
          <w:rFonts w:ascii="Arial" w:hAnsi="Arial" w:cs="Arial"/>
          <w:b/>
        </w:rPr>
        <w:t xml:space="preserve"> Briggs Institute Centre of Excell</w:t>
      </w:r>
      <w:r>
        <w:rPr>
          <w:rFonts w:ascii="Arial" w:hAnsi="Arial" w:cs="Arial"/>
          <w:b/>
        </w:rPr>
        <w:t>ence</w:t>
      </w:r>
    </w:p>
    <w:p w:rsidR="008D1743" w:rsidRPr="00B82B86" w:rsidRDefault="008D1743" w:rsidP="00B82B86">
      <w:pPr>
        <w:jc w:val="center"/>
        <w:rPr>
          <w:rFonts w:ascii="Arial" w:hAnsi="Arial" w:cs="Arial"/>
          <w:b/>
        </w:rPr>
      </w:pPr>
    </w:p>
    <w:p w:rsidR="008D1743" w:rsidRPr="00B82B86" w:rsidRDefault="008D1743" w:rsidP="00B82B86">
      <w:pPr>
        <w:jc w:val="center"/>
        <w:rPr>
          <w:rFonts w:ascii="Arial" w:hAnsi="Arial" w:cs="Arial"/>
          <w:b/>
          <w:szCs w:val="24"/>
        </w:rPr>
      </w:pPr>
      <w:r w:rsidRPr="00B82B86">
        <w:rPr>
          <w:rFonts w:ascii="Arial" w:hAnsi="Arial" w:cs="Arial"/>
          <w:b/>
          <w:color w:val="1F497D"/>
          <w:spacing w:val="-5"/>
          <w:szCs w:val="24"/>
          <w:lang w:eastAsia="en-AU"/>
        </w:rPr>
        <w:t>Wound Healing and Management Node</w:t>
      </w:r>
    </w:p>
    <w:sectPr w:rsidR="008D1743" w:rsidRPr="00B82B86" w:rsidSect="00B82B8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AA" w:rsidRDefault="00C4311F">
      <w:r>
        <w:separator/>
      </w:r>
    </w:p>
  </w:endnote>
  <w:endnote w:type="continuationSeparator" w:id="0">
    <w:p w:rsidR="00CD45AA" w:rsidRDefault="00C4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9D" w:rsidRPr="001F6077" w:rsidRDefault="00C4009D" w:rsidP="00C4009D">
    <w:pPr>
      <w:pStyle w:val="Footer"/>
      <w:jc w:val="right"/>
      <w:rPr>
        <w:rFonts w:ascii="Arial" w:hAnsi="Arial" w:cs="Arial"/>
        <w:sz w:val="18"/>
      </w:rPr>
    </w:pPr>
    <w:r w:rsidRPr="001F6077">
      <w:rPr>
        <w:rFonts w:ascii="Arial" w:hAnsi="Arial" w:cs="Arial"/>
        <w:sz w:val="18"/>
      </w:rPr>
      <w:t>CRICOS Provider Code 00301J</w:t>
    </w:r>
  </w:p>
  <w:p w:rsidR="00C4009D" w:rsidRDefault="00C4009D" w:rsidP="00B82B8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AA" w:rsidRDefault="00C4311F">
      <w:r>
        <w:separator/>
      </w:r>
    </w:p>
  </w:footnote>
  <w:footnote w:type="continuationSeparator" w:id="0">
    <w:p w:rsidR="00CD45AA" w:rsidRDefault="00C4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B3D" w:rsidRDefault="00590B3D" w:rsidP="00B82B86">
    <w:pPr>
      <w:pStyle w:val="Header"/>
      <w:jc w:val="right"/>
    </w:pPr>
    <w:r>
      <w:rPr>
        <w:noProof/>
        <w:szCs w:val="24"/>
        <w:vertAlign w:val="superscript"/>
        <w:lang w:eastAsia="en-AU"/>
      </w:rPr>
      <w:drawing>
        <wp:anchor distT="0" distB="0" distL="114300" distR="114300" simplePos="0" relativeHeight="251659264" behindDoc="0" locked="0" layoutInCell="1" allowOverlap="1" wp14:anchorId="5203710A" wp14:editId="69145E01">
          <wp:simplePos x="0" y="0"/>
          <wp:positionH relativeFrom="column">
            <wp:posOffset>4124325</wp:posOffset>
          </wp:positionH>
          <wp:positionV relativeFrom="paragraph">
            <wp:posOffset>-200660</wp:posOffset>
          </wp:positionV>
          <wp:extent cx="2294890" cy="387350"/>
          <wp:effectExtent l="0" t="0" r="0" b="0"/>
          <wp:wrapSquare wrapText="bothSides"/>
          <wp:docPr id="2" name="Picture 2" descr="L:\PER\HLTH\Shared\Pro Vice-Chancellors Office\Marketing &amp; Communications\Administration\Brand\Logos\CURTIN\Current\Logo_CurtinU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R\HLTH\Shared\Pro Vice-Chancellors Office\Marketing &amp; Communications\Administration\Brand\Logos\CURTIN\Current\Logo_CurtinUn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40C" w:rsidRDefault="009C6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BA4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45A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2E86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A9E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A8A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4F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2B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37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0D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48DC"/>
    <w:multiLevelType w:val="hybridMultilevel"/>
    <w:tmpl w:val="E7D2F6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B73BD"/>
    <w:multiLevelType w:val="hybridMultilevel"/>
    <w:tmpl w:val="CD360B04"/>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2" w15:restartNumberingAfterBreak="0">
    <w:nsid w:val="080438A8"/>
    <w:multiLevelType w:val="hybridMultilevel"/>
    <w:tmpl w:val="487E62B0"/>
    <w:lvl w:ilvl="0" w:tplc="04B61C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0F7764"/>
    <w:multiLevelType w:val="hybridMultilevel"/>
    <w:tmpl w:val="EE3A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B7ABA"/>
    <w:multiLevelType w:val="hybridMultilevel"/>
    <w:tmpl w:val="FDE8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00EF0"/>
    <w:multiLevelType w:val="hybridMultilevel"/>
    <w:tmpl w:val="892AA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F15A3A"/>
    <w:multiLevelType w:val="hybridMultilevel"/>
    <w:tmpl w:val="AA66AEF6"/>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BBDA230A">
      <w:numFmt w:val="bullet"/>
      <w:lvlText w:val=""/>
      <w:lvlJc w:val="left"/>
      <w:pPr>
        <w:tabs>
          <w:tab w:val="num" w:pos="2100"/>
        </w:tabs>
        <w:ind w:left="2100" w:hanging="360"/>
      </w:pPr>
      <w:rPr>
        <w:rFonts w:ascii="Symbol" w:eastAsia="SimSun" w:hAnsi="Symbol" w:cs="SimSun" w:hint="default"/>
        <w:b w:val="0"/>
        <w:i w:val="0"/>
        <w:color w:val="auto"/>
        <w:sz w:val="24"/>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1CD84386"/>
    <w:multiLevelType w:val="hybridMultilevel"/>
    <w:tmpl w:val="40C2A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3076D"/>
    <w:multiLevelType w:val="hybridMultilevel"/>
    <w:tmpl w:val="146C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0770E"/>
    <w:multiLevelType w:val="hybridMultilevel"/>
    <w:tmpl w:val="61B2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33E42"/>
    <w:multiLevelType w:val="hybridMultilevel"/>
    <w:tmpl w:val="E7F893D2"/>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CDA018E2">
      <w:start w:val="1"/>
      <w:numFmt w:val="bullet"/>
      <w:lvlText w:val=""/>
      <w:lvlJc w:val="left"/>
      <w:pPr>
        <w:tabs>
          <w:tab w:val="num" w:pos="1440"/>
        </w:tabs>
        <w:ind w:left="1440" w:hanging="360"/>
      </w:pPr>
      <w:rPr>
        <w:rFonts w:ascii="Wingdings 2" w:hAnsi="Wingdings 2"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B5598D"/>
    <w:multiLevelType w:val="hybridMultilevel"/>
    <w:tmpl w:val="5DDC512E"/>
    <w:lvl w:ilvl="0" w:tplc="BBDA230A">
      <w:numFmt w:val="bullet"/>
      <w:lvlText w:val=""/>
      <w:lvlJc w:val="left"/>
      <w:pPr>
        <w:tabs>
          <w:tab w:val="num" w:pos="420"/>
        </w:tabs>
        <w:ind w:left="420" w:hanging="360"/>
      </w:pPr>
      <w:rPr>
        <w:rFonts w:ascii="Symbol" w:eastAsia="SimSun" w:hAnsi="Symbol" w:cs="SimSu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6E9429A"/>
    <w:multiLevelType w:val="hybridMultilevel"/>
    <w:tmpl w:val="1390ED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80A113B"/>
    <w:multiLevelType w:val="multilevel"/>
    <w:tmpl w:val="8806D1F4"/>
    <w:lvl w:ilvl="0">
      <w:start w:val="1"/>
      <w:numFmt w:val="bullet"/>
      <w:lvlText w:val=""/>
      <w:lvlJc w:val="left"/>
      <w:pPr>
        <w:tabs>
          <w:tab w:val="num" w:pos="420"/>
        </w:tabs>
        <w:ind w:left="420" w:hanging="360"/>
      </w:pPr>
      <w:rPr>
        <w:rFonts w:ascii="Symbol" w:hAnsi="Symbol" w:hint="default"/>
        <w:b w:val="0"/>
        <w:i w:val="0"/>
        <w:color w:val="auto"/>
        <w:sz w:val="24"/>
      </w:rPr>
    </w:lvl>
    <w:lvl w:ilvl="1">
      <w:numFmt w:val="bullet"/>
      <w:lvlText w:val=""/>
      <w:lvlJc w:val="left"/>
      <w:pPr>
        <w:tabs>
          <w:tab w:val="num" w:pos="1511"/>
        </w:tabs>
        <w:ind w:left="1511" w:hanging="431"/>
      </w:pPr>
      <w:rPr>
        <w:rFonts w:ascii="Symbol" w:hAnsi="Symbol" w:cs="Wingdings" w:hint="default"/>
        <w:b/>
        <w:i w:val="0"/>
        <w:color w:val="333399"/>
        <w:sz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846AC"/>
    <w:multiLevelType w:val="hybridMultilevel"/>
    <w:tmpl w:val="06A66F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C7E391A"/>
    <w:multiLevelType w:val="multilevel"/>
    <w:tmpl w:val="5DDC512E"/>
    <w:lvl w:ilvl="0">
      <w:numFmt w:val="bullet"/>
      <w:lvlText w:val=""/>
      <w:lvlJc w:val="left"/>
      <w:pPr>
        <w:tabs>
          <w:tab w:val="num" w:pos="420"/>
        </w:tabs>
        <w:ind w:left="420" w:hanging="360"/>
      </w:pPr>
      <w:rPr>
        <w:rFonts w:ascii="Symbol" w:eastAsia="SimSun" w:hAnsi="Symbol" w:cs="SimSu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4DB84630"/>
    <w:multiLevelType w:val="multilevel"/>
    <w:tmpl w:val="141028AA"/>
    <w:lvl w:ilvl="0">
      <w:start w:val="1"/>
      <w:numFmt w:val="bullet"/>
      <w:lvlText w:val=""/>
      <w:lvlJc w:val="left"/>
      <w:pPr>
        <w:tabs>
          <w:tab w:val="num" w:pos="780"/>
        </w:tabs>
        <w:ind w:left="780" w:hanging="360"/>
      </w:pPr>
      <w:rPr>
        <w:rFonts w:ascii="Wingdings 2" w:hAnsi="Wingdings 2" w:hint="default"/>
        <w:b/>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C49BF"/>
    <w:multiLevelType w:val="hybridMultilevel"/>
    <w:tmpl w:val="7848D48E"/>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54580BA8"/>
    <w:multiLevelType w:val="multilevel"/>
    <w:tmpl w:val="28BE7550"/>
    <w:lvl w:ilvl="0">
      <w:numFmt w:val="bullet"/>
      <w:lvlText w:val=""/>
      <w:lvlJc w:val="left"/>
      <w:pPr>
        <w:tabs>
          <w:tab w:val="num" w:pos="851"/>
        </w:tabs>
        <w:ind w:left="851" w:hanging="431"/>
      </w:pPr>
      <w:rPr>
        <w:rFonts w:ascii="Symbol" w:hAnsi="Symbol" w:cs="Wingdings" w:hint="default"/>
        <w:b/>
        <w:i w:val="0"/>
        <w:color w:val="333399"/>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D51BC"/>
    <w:multiLevelType w:val="hybridMultilevel"/>
    <w:tmpl w:val="59D0E1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5B268F"/>
    <w:multiLevelType w:val="hybridMultilevel"/>
    <w:tmpl w:val="C5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320FD"/>
    <w:multiLevelType w:val="hybridMultilevel"/>
    <w:tmpl w:val="8806D1F4"/>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4B3EE956">
      <w:numFmt w:val="bullet"/>
      <w:lvlText w:val=""/>
      <w:lvlJc w:val="left"/>
      <w:pPr>
        <w:tabs>
          <w:tab w:val="num" w:pos="1511"/>
        </w:tabs>
        <w:ind w:left="1511" w:hanging="431"/>
      </w:pPr>
      <w:rPr>
        <w:rFonts w:ascii="Symbol" w:hAnsi="Symbol" w:cs="Wingdings" w:hint="default"/>
        <w:b/>
        <w:i w:val="0"/>
        <w:color w:val="333399"/>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AE2096"/>
    <w:multiLevelType w:val="hybridMultilevel"/>
    <w:tmpl w:val="B52830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FC31082"/>
    <w:multiLevelType w:val="hybridMultilevel"/>
    <w:tmpl w:val="141028AA"/>
    <w:lvl w:ilvl="0" w:tplc="CDA018E2">
      <w:start w:val="1"/>
      <w:numFmt w:val="bullet"/>
      <w:lvlText w:val=""/>
      <w:lvlJc w:val="left"/>
      <w:pPr>
        <w:tabs>
          <w:tab w:val="num" w:pos="780"/>
        </w:tabs>
        <w:ind w:left="780" w:hanging="360"/>
      </w:pPr>
      <w:rPr>
        <w:rFonts w:ascii="Wingdings 2" w:hAnsi="Wingdings 2"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E33AB"/>
    <w:multiLevelType w:val="hybridMultilevel"/>
    <w:tmpl w:val="AD44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E07D9"/>
    <w:multiLevelType w:val="hybridMultilevel"/>
    <w:tmpl w:val="EE281230"/>
    <w:lvl w:ilvl="0" w:tplc="BBDA230A">
      <w:numFmt w:val="bullet"/>
      <w:lvlText w:val=""/>
      <w:lvlJc w:val="left"/>
      <w:pPr>
        <w:tabs>
          <w:tab w:val="num" w:pos="1080"/>
        </w:tabs>
        <w:ind w:left="1080" w:hanging="360"/>
      </w:pPr>
      <w:rPr>
        <w:rFonts w:ascii="Symbol" w:eastAsia="SimSun" w:hAnsi="Symbol" w:cs="SimSu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CD79A7"/>
    <w:multiLevelType w:val="hybridMultilevel"/>
    <w:tmpl w:val="8CF2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A31E0"/>
    <w:multiLevelType w:val="hybridMultilevel"/>
    <w:tmpl w:val="28BE7550"/>
    <w:lvl w:ilvl="0" w:tplc="4B3EE956">
      <w:numFmt w:val="bullet"/>
      <w:lvlText w:val=""/>
      <w:lvlJc w:val="left"/>
      <w:pPr>
        <w:tabs>
          <w:tab w:val="num" w:pos="851"/>
        </w:tabs>
        <w:ind w:left="851" w:hanging="431"/>
      </w:pPr>
      <w:rPr>
        <w:rFonts w:ascii="Symbol" w:hAnsi="Symbol" w:cs="Wingdings" w:hint="default"/>
        <w:b/>
        <w:i w:val="0"/>
        <w:color w:val="333399"/>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907AE"/>
    <w:multiLevelType w:val="hybridMultilevel"/>
    <w:tmpl w:val="C2140C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7F11768C"/>
    <w:multiLevelType w:val="hybridMultilevel"/>
    <w:tmpl w:val="46AA78AE"/>
    <w:lvl w:ilvl="0" w:tplc="E82206AC">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2B726F"/>
    <w:multiLevelType w:val="hybridMultilevel"/>
    <w:tmpl w:val="FDC2C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7"/>
  </w:num>
  <w:num w:numId="13">
    <w:abstractNumId w:val="28"/>
  </w:num>
  <w:num w:numId="14">
    <w:abstractNumId w:val="33"/>
  </w:num>
  <w:num w:numId="15">
    <w:abstractNumId w:val="26"/>
  </w:num>
  <w:num w:numId="16">
    <w:abstractNumId w:val="27"/>
  </w:num>
  <w:num w:numId="17">
    <w:abstractNumId w:val="31"/>
  </w:num>
  <w:num w:numId="18">
    <w:abstractNumId w:val="16"/>
  </w:num>
  <w:num w:numId="19">
    <w:abstractNumId w:val="39"/>
  </w:num>
  <w:num w:numId="20">
    <w:abstractNumId w:val="23"/>
  </w:num>
  <w:num w:numId="21">
    <w:abstractNumId w:val="20"/>
  </w:num>
  <w:num w:numId="22">
    <w:abstractNumId w:val="21"/>
  </w:num>
  <w:num w:numId="23">
    <w:abstractNumId w:val="25"/>
  </w:num>
  <w:num w:numId="24">
    <w:abstractNumId w:val="35"/>
  </w:num>
  <w:num w:numId="25">
    <w:abstractNumId w:val="12"/>
  </w:num>
  <w:num w:numId="26">
    <w:abstractNumId w:val="11"/>
  </w:num>
  <w:num w:numId="27">
    <w:abstractNumId w:val="17"/>
  </w:num>
  <w:num w:numId="28">
    <w:abstractNumId w:val="13"/>
  </w:num>
  <w:num w:numId="29">
    <w:abstractNumId w:val="14"/>
  </w:num>
  <w:num w:numId="30">
    <w:abstractNumId w:val="18"/>
  </w:num>
  <w:num w:numId="31">
    <w:abstractNumId w:val="34"/>
  </w:num>
  <w:num w:numId="32">
    <w:abstractNumId w:val="30"/>
  </w:num>
  <w:num w:numId="33">
    <w:abstractNumId w:val="36"/>
  </w:num>
  <w:num w:numId="34">
    <w:abstractNumId w:val="40"/>
  </w:num>
  <w:num w:numId="35">
    <w:abstractNumId w:val="19"/>
  </w:num>
  <w:num w:numId="36">
    <w:abstractNumId w:val="22"/>
  </w:num>
  <w:num w:numId="37">
    <w:abstractNumId w:val="32"/>
  </w:num>
  <w:num w:numId="38">
    <w:abstractNumId w:val="38"/>
  </w:num>
  <w:num w:numId="39">
    <w:abstractNumId w:val="24"/>
  </w:num>
  <w:num w:numId="40">
    <w:abstractNumId w:val="1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72A24"/>
    <w:rsid w:val="00064BB0"/>
    <w:rsid w:val="0010472E"/>
    <w:rsid w:val="001C1272"/>
    <w:rsid w:val="00200DAB"/>
    <w:rsid w:val="00202306"/>
    <w:rsid w:val="002759C1"/>
    <w:rsid w:val="003767D6"/>
    <w:rsid w:val="004305BA"/>
    <w:rsid w:val="004802ED"/>
    <w:rsid w:val="004F1B42"/>
    <w:rsid w:val="00540E56"/>
    <w:rsid w:val="00590B3D"/>
    <w:rsid w:val="0061285A"/>
    <w:rsid w:val="00654C98"/>
    <w:rsid w:val="00662923"/>
    <w:rsid w:val="00681D2C"/>
    <w:rsid w:val="00692FC7"/>
    <w:rsid w:val="006C4D88"/>
    <w:rsid w:val="006F3F17"/>
    <w:rsid w:val="007260A5"/>
    <w:rsid w:val="00767C82"/>
    <w:rsid w:val="0085514B"/>
    <w:rsid w:val="008A3C15"/>
    <w:rsid w:val="008D1743"/>
    <w:rsid w:val="009857B4"/>
    <w:rsid w:val="00995E6D"/>
    <w:rsid w:val="009B23E0"/>
    <w:rsid w:val="009C63B0"/>
    <w:rsid w:val="00A051A5"/>
    <w:rsid w:val="00A72A24"/>
    <w:rsid w:val="00AB6E2C"/>
    <w:rsid w:val="00AC30DB"/>
    <w:rsid w:val="00AC504C"/>
    <w:rsid w:val="00AC5DB9"/>
    <w:rsid w:val="00B16CBC"/>
    <w:rsid w:val="00B552C2"/>
    <w:rsid w:val="00B82B86"/>
    <w:rsid w:val="00B93677"/>
    <w:rsid w:val="00C27B7A"/>
    <w:rsid w:val="00C4009D"/>
    <w:rsid w:val="00C4311F"/>
    <w:rsid w:val="00CB45AD"/>
    <w:rsid w:val="00CC0033"/>
    <w:rsid w:val="00CD45AA"/>
    <w:rsid w:val="00E67DA6"/>
    <w:rsid w:val="00EF1311"/>
    <w:rsid w:val="00F7336C"/>
    <w:rsid w:val="00FA3060"/>
    <w:rsid w:val="00FF5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E13FEEB-D80B-4011-AD6F-2FB29B9D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24"/>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72A24"/>
    <w:rPr>
      <w:sz w:val="20"/>
      <w:szCs w:val="20"/>
      <w:lang w:eastAsia="en-AU"/>
    </w:rPr>
  </w:style>
  <w:style w:type="character" w:customStyle="1" w:styleId="FootnoteTextChar">
    <w:name w:val="Footnote Text Char"/>
    <w:basedOn w:val="DefaultParagraphFont"/>
    <w:link w:val="FootnoteText"/>
    <w:rsid w:val="00A72A24"/>
    <w:rPr>
      <w:rFonts w:ascii="Times New Roman" w:eastAsia="Times New Roman" w:hAnsi="Times New Roman" w:cs="Times New Roman"/>
      <w:sz w:val="20"/>
      <w:szCs w:val="20"/>
      <w:lang w:eastAsia="en-AU"/>
    </w:rPr>
  </w:style>
  <w:style w:type="character" w:customStyle="1" w:styleId="StyleFootnoteReference10pt">
    <w:name w:val="Style Footnote Reference + 10 pt"/>
    <w:basedOn w:val="FootnoteReference"/>
    <w:rsid w:val="00A72A24"/>
    <w:rPr>
      <w:sz w:val="20"/>
      <w:vertAlign w:val="superscript"/>
    </w:rPr>
  </w:style>
  <w:style w:type="character" w:styleId="FootnoteReference">
    <w:name w:val="footnote reference"/>
    <w:basedOn w:val="DefaultParagraphFont"/>
    <w:semiHidden/>
    <w:rsid w:val="00A72A24"/>
    <w:rPr>
      <w:vertAlign w:val="superscript"/>
    </w:rPr>
  </w:style>
  <w:style w:type="paragraph" w:customStyle="1" w:styleId="HeadingGeorgia">
    <w:name w:val="Heading Georgia"/>
    <w:basedOn w:val="Normal"/>
    <w:rsid w:val="00A72A24"/>
    <w:pPr>
      <w:spacing w:line="360" w:lineRule="auto"/>
      <w:jc w:val="center"/>
    </w:pPr>
    <w:rPr>
      <w:rFonts w:ascii="Georgia" w:hAnsi="Georgia" w:cs="Arial"/>
      <w:color w:val="000080"/>
      <w:sz w:val="28"/>
      <w:lang w:eastAsia="en-AU"/>
    </w:rPr>
  </w:style>
  <w:style w:type="paragraph" w:customStyle="1" w:styleId="TableStyle">
    <w:name w:val="Table Style"/>
    <w:autoRedefine/>
    <w:rsid w:val="00A72A24"/>
    <w:pPr>
      <w:spacing w:after="0" w:line="240" w:lineRule="auto"/>
    </w:pPr>
    <w:rPr>
      <w:rFonts w:ascii="Times New Roman" w:eastAsia="Times New Roman" w:hAnsi="Times New Roman" w:cs="Times New Roman"/>
      <w:b/>
      <w:sz w:val="24"/>
      <w:szCs w:val="24"/>
      <w:u w:val="single"/>
      <w:lang w:eastAsia="en-AU"/>
    </w:rPr>
  </w:style>
  <w:style w:type="paragraph" w:customStyle="1" w:styleId="Table12pt">
    <w:name w:val="Table 12 pt"/>
    <w:basedOn w:val="Normal"/>
    <w:autoRedefine/>
    <w:rsid w:val="00A72A24"/>
    <w:rPr>
      <w:b/>
      <w:u w:val="single"/>
      <w:lang w:eastAsia="en-AU"/>
    </w:rPr>
  </w:style>
  <w:style w:type="paragraph" w:customStyle="1" w:styleId="FigureStyle">
    <w:name w:val="Figure Style"/>
    <w:basedOn w:val="Normal"/>
    <w:autoRedefine/>
    <w:rsid w:val="00A72A24"/>
    <w:rPr>
      <w:b/>
      <w:u w:val="single"/>
      <w:lang w:eastAsia="en-AU"/>
    </w:rPr>
  </w:style>
  <w:style w:type="paragraph" w:styleId="Caption">
    <w:name w:val="caption"/>
    <w:basedOn w:val="Normal"/>
    <w:next w:val="Normal"/>
    <w:autoRedefine/>
    <w:qFormat/>
    <w:rsid w:val="00A72A24"/>
    <w:pPr>
      <w:spacing w:line="360" w:lineRule="auto"/>
    </w:pPr>
    <w:rPr>
      <w:bCs/>
      <w:szCs w:val="20"/>
      <w:u w:val="single"/>
      <w:lang w:eastAsia="en-AU"/>
    </w:rPr>
  </w:style>
  <w:style w:type="paragraph" w:customStyle="1" w:styleId="FigureTitles">
    <w:name w:val="Figure Titles"/>
    <w:basedOn w:val="TableofFigures"/>
    <w:rsid w:val="00A72A24"/>
    <w:rPr>
      <w:lang w:eastAsia="en-AU"/>
    </w:rPr>
  </w:style>
  <w:style w:type="paragraph" w:styleId="TableofFigures">
    <w:name w:val="table of figures"/>
    <w:basedOn w:val="Normal"/>
    <w:next w:val="Normal"/>
    <w:semiHidden/>
    <w:rsid w:val="00A72A24"/>
  </w:style>
  <w:style w:type="paragraph" w:styleId="BalloonText">
    <w:name w:val="Balloon Text"/>
    <w:basedOn w:val="Normal"/>
    <w:link w:val="BalloonTextChar"/>
    <w:rsid w:val="00A72A24"/>
    <w:rPr>
      <w:rFonts w:ascii="Tahoma" w:hAnsi="Tahoma" w:cs="Tahoma"/>
      <w:sz w:val="16"/>
      <w:szCs w:val="16"/>
    </w:rPr>
  </w:style>
  <w:style w:type="character" w:customStyle="1" w:styleId="BalloonTextChar">
    <w:name w:val="Balloon Text Char"/>
    <w:basedOn w:val="DefaultParagraphFont"/>
    <w:link w:val="BalloonText"/>
    <w:rsid w:val="00A72A24"/>
    <w:rPr>
      <w:rFonts w:ascii="Tahoma" w:eastAsia="Times New Roman" w:hAnsi="Tahoma" w:cs="Tahoma"/>
      <w:sz w:val="16"/>
      <w:szCs w:val="16"/>
    </w:rPr>
  </w:style>
  <w:style w:type="paragraph" w:styleId="EndnoteText">
    <w:name w:val="endnote text"/>
    <w:basedOn w:val="Normal"/>
    <w:link w:val="EndnoteTextChar"/>
    <w:rsid w:val="00A72A24"/>
    <w:rPr>
      <w:sz w:val="20"/>
      <w:szCs w:val="20"/>
    </w:rPr>
  </w:style>
  <w:style w:type="character" w:customStyle="1" w:styleId="EndnoteTextChar">
    <w:name w:val="Endnote Text Char"/>
    <w:basedOn w:val="DefaultParagraphFont"/>
    <w:link w:val="EndnoteText"/>
    <w:rsid w:val="00A72A24"/>
    <w:rPr>
      <w:rFonts w:ascii="Times New Roman" w:eastAsia="Times New Roman" w:hAnsi="Times New Roman" w:cs="Times New Roman"/>
      <w:sz w:val="20"/>
      <w:szCs w:val="20"/>
    </w:rPr>
  </w:style>
  <w:style w:type="character" w:styleId="EndnoteReference">
    <w:name w:val="endnote reference"/>
    <w:basedOn w:val="DefaultParagraphFont"/>
    <w:rsid w:val="00A72A24"/>
    <w:rPr>
      <w:vertAlign w:val="superscript"/>
    </w:rPr>
  </w:style>
  <w:style w:type="paragraph" w:styleId="HTMLPreformatted">
    <w:name w:val="HTML Preformatted"/>
    <w:basedOn w:val="Normal"/>
    <w:link w:val="HTMLPreformattedChar"/>
    <w:rsid w:val="00A72A24"/>
    <w:rPr>
      <w:rFonts w:ascii="Consolas" w:hAnsi="Consolas"/>
      <w:sz w:val="20"/>
      <w:szCs w:val="20"/>
    </w:rPr>
  </w:style>
  <w:style w:type="character" w:customStyle="1" w:styleId="HTMLPreformattedChar">
    <w:name w:val="HTML Preformatted Char"/>
    <w:basedOn w:val="DefaultParagraphFont"/>
    <w:link w:val="HTMLPreformatted"/>
    <w:rsid w:val="00A72A24"/>
    <w:rPr>
      <w:rFonts w:ascii="Consolas" w:eastAsia="Times New Roman" w:hAnsi="Consolas" w:cs="Times New Roman"/>
      <w:sz w:val="20"/>
      <w:szCs w:val="20"/>
    </w:rPr>
  </w:style>
  <w:style w:type="paragraph" w:styleId="ListParagraph">
    <w:name w:val="List Paragraph"/>
    <w:basedOn w:val="Normal"/>
    <w:uiPriority w:val="34"/>
    <w:qFormat/>
    <w:rsid w:val="00A72A24"/>
    <w:pPr>
      <w:ind w:left="720"/>
      <w:contextualSpacing/>
    </w:pPr>
  </w:style>
  <w:style w:type="character" w:styleId="Hyperlink">
    <w:name w:val="Hyperlink"/>
    <w:basedOn w:val="DefaultParagraphFont"/>
    <w:rsid w:val="00A72A24"/>
    <w:rPr>
      <w:color w:val="0066FF" w:themeColor="hyperlink"/>
      <w:u w:val="single"/>
    </w:rPr>
  </w:style>
  <w:style w:type="character" w:customStyle="1" w:styleId="apple-converted-space">
    <w:name w:val="apple-converted-space"/>
    <w:basedOn w:val="DefaultParagraphFont"/>
    <w:rsid w:val="00A72A24"/>
  </w:style>
  <w:style w:type="character" w:styleId="Emphasis">
    <w:name w:val="Emphasis"/>
    <w:basedOn w:val="DefaultParagraphFont"/>
    <w:uiPriority w:val="20"/>
    <w:qFormat/>
    <w:rsid w:val="00A72A24"/>
    <w:rPr>
      <w:i/>
      <w:iCs/>
    </w:rPr>
  </w:style>
  <w:style w:type="paragraph" w:customStyle="1" w:styleId="EndNoteBibliographyTitle">
    <w:name w:val="EndNote Bibliography Title"/>
    <w:basedOn w:val="Normal"/>
    <w:link w:val="EndNoteBibliographyTitleChar"/>
    <w:rsid w:val="00A72A24"/>
    <w:pPr>
      <w:jc w:val="center"/>
    </w:pPr>
    <w:rPr>
      <w:noProof/>
      <w:lang w:val="en-US"/>
    </w:rPr>
  </w:style>
  <w:style w:type="character" w:customStyle="1" w:styleId="EndNoteBibliographyTitleChar">
    <w:name w:val="EndNote Bibliography Title Char"/>
    <w:basedOn w:val="DefaultParagraphFont"/>
    <w:link w:val="EndNoteBibliographyTitle"/>
    <w:rsid w:val="00A72A24"/>
    <w:rPr>
      <w:rFonts w:ascii="Times New Roman" w:eastAsia="Times New Roman" w:hAnsi="Times New Roman" w:cs="Times New Roman"/>
      <w:noProof/>
      <w:sz w:val="24"/>
      <w:lang w:val="en-US"/>
    </w:rPr>
  </w:style>
  <w:style w:type="paragraph" w:customStyle="1" w:styleId="EndNoteBibliography">
    <w:name w:val="EndNote Bibliography"/>
    <w:basedOn w:val="Normal"/>
    <w:link w:val="EndNoteBibliographyChar"/>
    <w:rsid w:val="00A72A24"/>
    <w:rPr>
      <w:noProof/>
      <w:lang w:val="en-US"/>
    </w:rPr>
  </w:style>
  <w:style w:type="character" w:customStyle="1" w:styleId="EndNoteBibliographyChar">
    <w:name w:val="EndNote Bibliography Char"/>
    <w:basedOn w:val="DefaultParagraphFont"/>
    <w:link w:val="EndNoteBibliography"/>
    <w:rsid w:val="00A72A24"/>
    <w:rPr>
      <w:rFonts w:ascii="Times New Roman" w:eastAsia="Times New Roman" w:hAnsi="Times New Roman" w:cs="Times New Roman"/>
      <w:noProof/>
      <w:sz w:val="24"/>
      <w:lang w:val="en-US"/>
    </w:rPr>
  </w:style>
  <w:style w:type="character" w:styleId="CommentReference">
    <w:name w:val="annotation reference"/>
    <w:basedOn w:val="DefaultParagraphFont"/>
    <w:semiHidden/>
    <w:unhideWhenUsed/>
    <w:rsid w:val="00A72A24"/>
    <w:rPr>
      <w:sz w:val="16"/>
      <w:szCs w:val="16"/>
    </w:rPr>
  </w:style>
  <w:style w:type="paragraph" w:styleId="CommentText">
    <w:name w:val="annotation text"/>
    <w:basedOn w:val="Normal"/>
    <w:link w:val="CommentTextChar"/>
    <w:semiHidden/>
    <w:unhideWhenUsed/>
    <w:rsid w:val="00A72A24"/>
    <w:rPr>
      <w:sz w:val="20"/>
      <w:szCs w:val="20"/>
    </w:rPr>
  </w:style>
  <w:style w:type="character" w:customStyle="1" w:styleId="CommentTextChar">
    <w:name w:val="Comment Text Char"/>
    <w:basedOn w:val="DefaultParagraphFont"/>
    <w:link w:val="CommentText"/>
    <w:semiHidden/>
    <w:rsid w:val="00A72A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72A24"/>
    <w:rPr>
      <w:b/>
      <w:bCs/>
    </w:rPr>
  </w:style>
  <w:style w:type="character" w:customStyle="1" w:styleId="CommentSubjectChar">
    <w:name w:val="Comment Subject Char"/>
    <w:basedOn w:val="CommentTextChar"/>
    <w:link w:val="CommentSubject"/>
    <w:semiHidden/>
    <w:rsid w:val="00A72A2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72A24"/>
    <w:pPr>
      <w:tabs>
        <w:tab w:val="center" w:pos="4513"/>
        <w:tab w:val="right" w:pos="9026"/>
      </w:tabs>
    </w:pPr>
  </w:style>
  <w:style w:type="character" w:customStyle="1" w:styleId="HeaderChar">
    <w:name w:val="Header Char"/>
    <w:basedOn w:val="DefaultParagraphFont"/>
    <w:link w:val="Header"/>
    <w:uiPriority w:val="99"/>
    <w:rsid w:val="00A72A24"/>
    <w:rPr>
      <w:rFonts w:ascii="Times New Roman" w:eastAsia="Times New Roman" w:hAnsi="Times New Roman" w:cs="Times New Roman"/>
      <w:sz w:val="24"/>
    </w:rPr>
  </w:style>
  <w:style w:type="paragraph" w:styleId="Footer">
    <w:name w:val="footer"/>
    <w:basedOn w:val="Normal"/>
    <w:link w:val="FooterChar"/>
    <w:uiPriority w:val="99"/>
    <w:unhideWhenUsed/>
    <w:rsid w:val="00A72A24"/>
    <w:pPr>
      <w:tabs>
        <w:tab w:val="center" w:pos="4513"/>
        <w:tab w:val="right" w:pos="9026"/>
      </w:tabs>
    </w:pPr>
  </w:style>
  <w:style w:type="character" w:customStyle="1" w:styleId="FooterChar">
    <w:name w:val="Footer Char"/>
    <w:basedOn w:val="DefaultParagraphFont"/>
    <w:link w:val="Footer"/>
    <w:uiPriority w:val="99"/>
    <w:rsid w:val="00A72A24"/>
    <w:rPr>
      <w:rFonts w:ascii="Times New Roman" w:eastAsia="Times New Roman" w:hAnsi="Times New Roman" w:cs="Times New Roman"/>
      <w:sz w:val="24"/>
    </w:rPr>
  </w:style>
  <w:style w:type="table" w:styleId="TableGrid">
    <w:name w:val="Table Grid"/>
    <w:basedOn w:val="TableNormal"/>
    <w:uiPriority w:val="39"/>
    <w:rsid w:val="009B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11696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Watts</dc:creator>
  <cp:keywords/>
  <dc:description/>
  <cp:lastModifiedBy>Jodi Burgess</cp:lastModifiedBy>
  <cp:revision>2</cp:revision>
  <cp:lastPrinted>2017-08-18T06:18:00Z</cp:lastPrinted>
  <dcterms:created xsi:type="dcterms:W3CDTF">2017-08-28T01:33:00Z</dcterms:created>
  <dcterms:modified xsi:type="dcterms:W3CDTF">2017-08-28T01:33:00Z</dcterms:modified>
</cp:coreProperties>
</file>